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keepNext w:val="false"/>
        <w:keepLines w:val="false"/>
        <w:pageBreakBefore w:val="false"/>
        <w:widowControl w:val="false"/>
        <w:shd w:val="clear" w:fill="auto"/>
        <w:spacing w:lineRule="auto" w:line="240" w:before="0" w:after="0"/>
        <w:ind w:left="0" w:right="0" w:hanging="0"/>
        <w:jc w:val="right"/>
        <w:rPr>
          <w:i/>
          <w:i/>
          <w:iCs/>
          <w:u w:val="single"/>
        </w:rPr>
      </w:pPr>
      <w:r>
        <w:rPr>
          <w:rFonts w:ascii="Times New Roman" w:hAnsi="Times New Roman"/>
          <w:b/>
          <w:bCs/>
          <w:i/>
          <w:iCs/>
          <w:sz w:val="24"/>
          <w:szCs w:val="24"/>
          <w:u w:val="single"/>
        </w:rPr>
        <w:t>П Р О Є К Т</w:t>
      </w:r>
    </w:p>
    <w:p>
      <w:pPr>
        <w:pStyle w:val="LOnormal"/>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smallCaps/>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smallCaps/>
          <w:strike w:val="false"/>
          <w:dstrike w:val="false"/>
          <w:color w:val="000000"/>
          <w:position w:val="0"/>
          <w:sz w:val="24"/>
          <w:sz w:val="24"/>
          <w:szCs w:val="24"/>
          <w:u w:val="none"/>
          <w:shd w:fill="auto" w:val="clear"/>
          <w:vertAlign w:val="baseline"/>
        </w:rPr>
        <w:t>МІНІСТЕРСТВО ОСВІТИ І НАУКИ УКРАЇНИ</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smallCaps/>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smallCaps/>
          <w:strike w:val="false"/>
          <w:dstrike w:val="false"/>
          <w:color w:val="000000"/>
          <w:position w:val="0"/>
          <w:sz w:val="28"/>
          <w:sz w:val="28"/>
          <w:szCs w:val="28"/>
          <w:u w:val="none"/>
          <w:shd w:fill="auto" w:val="clear"/>
          <w:vertAlign w:val="baseline"/>
        </w:rPr>
        <w:t>КИЇВСЬКИЙ НАЦІОНАЛЬНИЙ УНІВЕРСИТЕТ</w:t>
      </w:r>
    </w:p>
    <w:p>
      <w:pPr>
        <w:pStyle w:val="LOnormal"/>
        <w:keepNext w:val="false"/>
        <w:keepLines w:val="false"/>
        <w:pageBreakBefore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smallCaps/>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smallCaps/>
          <w:strike w:val="false"/>
          <w:dstrike w:val="false"/>
          <w:color w:val="000000"/>
          <w:position w:val="0"/>
          <w:sz w:val="28"/>
          <w:sz w:val="28"/>
          <w:szCs w:val="28"/>
          <w:u w:val="none"/>
          <w:shd w:fill="auto" w:val="clear"/>
          <w:vertAlign w:val="baseline"/>
        </w:rPr>
        <w:t>ТЕХНОЛОГІЙ ТА ДИЗАЙНУ</w:t>
      </w:r>
    </w:p>
    <w:p>
      <w:pPr>
        <w:pStyle w:val="LOnormal"/>
        <w:keepNext w:val="false"/>
        <w:keepLines w:val="false"/>
        <w:pageBreakBefore w:val="false"/>
        <w:widowControl w:val="false"/>
        <w:shd w:val="clear" w:fill="auto"/>
        <w:spacing w:lineRule="auto" w:line="288" w:before="0" w:after="0"/>
        <w:ind w:left="0" w:right="0" w:hanging="0"/>
        <w:jc w:val="center"/>
        <w:rPr>
          <w:rFonts w:ascii="Times New Roman" w:hAnsi="Times New Roman" w:eastAsia="Times New Roman" w:cs="Times New Roman"/>
          <w:b w:val="false"/>
          <w:b w:val="false"/>
          <w:i w:val="false"/>
          <w:i w:val="false"/>
          <w:smallCaps/>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smallCaps/>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288" w:before="0" w:after="0"/>
        <w:ind w:left="0" w:right="0" w:hanging="0"/>
        <w:jc w:val="center"/>
        <w:rPr>
          <w:rFonts w:ascii="Times New Roman" w:hAnsi="Times New Roman" w:eastAsia="Times New Roman" w:cs="Times New Roman"/>
          <w:b w:val="false"/>
          <w:b w:val="false"/>
          <w:i w:val="false"/>
          <w:i w:val="false"/>
          <w:smallCaps/>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smallCaps/>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288" w:before="0" w:after="0"/>
        <w:ind w:left="0" w:right="0" w:hanging="0"/>
        <w:jc w:val="center"/>
        <w:rPr>
          <w:rFonts w:ascii="Times New Roman" w:hAnsi="Times New Roman" w:eastAsia="Times New Roman" w:cs="Times New Roman"/>
          <w:b w:val="false"/>
          <w:b w:val="false"/>
          <w:i w:val="false"/>
          <w:i w:val="false"/>
          <w:smallCaps/>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smallCaps/>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427" w:before="0" w:after="0"/>
        <w:ind w:left="5245"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ЗАТВЕРДЖЕНО ВЧЕНОЮ РАДОЮ</w:t>
      </w:r>
    </w:p>
    <w:p>
      <w:pPr>
        <w:pStyle w:val="LOnormal"/>
        <w:keepNext w:val="false"/>
        <w:keepLines w:val="false"/>
        <w:pageBreakBefore w:val="false"/>
        <w:widowControl w:val="false"/>
        <w:shd w:val="clear" w:fill="auto"/>
        <w:spacing w:lineRule="auto" w:line="427" w:before="0" w:after="0"/>
        <w:ind w:left="5245"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Голова Вченої ради КНУТД</w:t>
      </w:r>
    </w:p>
    <w:p>
      <w:pPr>
        <w:pStyle w:val="LOnormal"/>
        <w:keepNext w:val="false"/>
        <w:keepLines w:val="false"/>
        <w:pageBreakBefore w:val="false"/>
        <w:widowControl w:val="false"/>
        <w:shd w:val="clear" w:fill="auto"/>
        <w:spacing w:lineRule="auto" w:line="427" w:before="0" w:after="0"/>
        <w:ind w:left="5245"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___________________ Іван ГРИЩЕНКО</w:t>
      </w:r>
    </w:p>
    <w:p>
      <w:pPr>
        <w:pStyle w:val="LOnormal"/>
        <w:keepNext w:val="false"/>
        <w:keepLines w:val="false"/>
        <w:pageBreakBefore w:val="false"/>
        <w:widowControl w:val="false"/>
        <w:shd w:val="clear" w:fill="auto"/>
        <w:spacing w:lineRule="auto" w:line="427" w:before="0" w:after="0"/>
        <w:ind w:left="5245"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(протокол від __ _________202</w:t>
      </w:r>
      <w:r>
        <w:rPr>
          <w:rFonts w:eastAsia="Times New Roman" w:cs="Times New Roman" w:ascii="Times New Roman" w:hAnsi="Times New Roman"/>
          <w:b/>
          <w:sz w:val="24"/>
          <w:szCs w:val="24"/>
        </w:rPr>
        <w:t>3</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р. № __)</w:t>
      </w:r>
    </w:p>
    <w:p>
      <w:pPr>
        <w:pStyle w:val="LOnormal"/>
        <w:keepNext w:val="false"/>
        <w:keepLines w:val="false"/>
        <w:pageBreakBefore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88" w:before="0" w:after="0"/>
        <w:ind w:left="0" w:right="0" w:hanging="0"/>
        <w:jc w:val="center"/>
        <w:rPr>
          <w:rFonts w:ascii="Times New Roman" w:hAnsi="Times New Roman" w:eastAsia="Times New Roman" w:cs="Times New Roman"/>
          <w:b/>
          <w:b/>
          <w:i w:val="false"/>
          <w:i w:val="false"/>
          <w:smallCaps/>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smallCaps/>
          <w:strike w:val="false"/>
          <w:dstrike w:val="false"/>
          <w:color w:val="000000"/>
          <w:position w:val="0"/>
          <w:sz w:val="28"/>
          <w:sz w:val="28"/>
          <w:szCs w:val="28"/>
          <w:u w:val="none"/>
          <w:shd w:fill="auto" w:val="clear"/>
          <w:vertAlign w:val="baseline"/>
        </w:rPr>
        <w:t>ОСВІТНЬО-ПРОФЕСІЙНА ПРОГРАМА</w:t>
      </w:r>
    </w:p>
    <w:p>
      <w:pPr>
        <w:pStyle w:val="LOnormal"/>
        <w:keepNext w:val="false"/>
        <w:keepLines w:val="false"/>
        <w:pageBreakBefore w:val="false"/>
        <w:widowControl w:val="false"/>
        <w:shd w:val="clear" w:fill="auto"/>
        <w:spacing w:lineRule="auto" w:line="288" w:before="0" w:after="0"/>
        <w:ind w:left="0" w:right="0" w:hanging="0"/>
        <w:jc w:val="center"/>
        <w:rPr>
          <w:rFonts w:ascii="Times New Roman" w:hAnsi="Times New Roman" w:eastAsia="Times New Roman" w:cs="Times New Roman"/>
          <w:b/>
          <w:b/>
          <w:i w:val="false"/>
          <w:i w:val="false"/>
          <w:smallCaps/>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smallCaps/>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288"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smallCaps/>
          <w:strike w:val="false"/>
          <w:dstrike w:val="false"/>
          <w:color w:val="000000"/>
          <w:position w:val="0"/>
          <w:sz w:val="28"/>
          <w:sz w:val="28"/>
          <w:szCs w:val="28"/>
          <w:u w:val="single"/>
          <w:shd w:fill="auto" w:val="clear"/>
          <w:vertAlign w:val="baseline"/>
        </w:rPr>
        <w:t>УКРАЇНСЬКА МОВА І ЛІТЕРАТУРА ТА АНГЛІЙСЬКІ ФІЛОЛОГІЧНІ СТУДІЇ</w:t>
      </w:r>
    </w:p>
    <w:p>
      <w:pPr>
        <w:pStyle w:val="LOnormal"/>
        <w:keepNext w:val="false"/>
        <w:keepLines w:val="false"/>
        <w:pageBreakBefore w:val="false"/>
        <w:widowControl w:val="false"/>
        <w:shd w:val="clear" w:fill="auto"/>
        <w:spacing w:lineRule="auto" w:line="288" w:before="0" w:after="0"/>
        <w:ind w:left="0" w:right="0" w:hanging="0"/>
        <w:jc w:val="center"/>
        <w:rPr>
          <w:rFonts w:ascii="Times New Roman" w:hAnsi="Times New Roman" w:eastAsia="Times New Roman" w:cs="Times New Roman"/>
          <w:b/>
          <w:b/>
          <w:i w:val="false"/>
          <w:i w:val="false"/>
          <w:smallCaps/>
          <w:strike w:val="false"/>
          <w:dstrike w:val="false"/>
          <w:color w:val="000000"/>
          <w:position w:val="0"/>
          <w:sz w:val="28"/>
          <w:sz w:val="28"/>
          <w:szCs w:val="28"/>
          <w:u w:val="single"/>
          <w:shd w:fill="auto" w:val="clear"/>
          <w:vertAlign w:val="baseline"/>
        </w:rPr>
      </w:pPr>
      <w:r>
        <w:rPr>
          <w:rFonts w:eastAsia="Times New Roman" w:cs="Times New Roman" w:ascii="Times New Roman" w:hAnsi="Times New Roman"/>
          <w:b/>
          <w:i w:val="false"/>
          <w:smallCaps/>
          <w:strike w:val="false"/>
          <w:dstrike w:val="false"/>
          <w:color w:val="000000"/>
          <w:position w:val="0"/>
          <w:sz w:val="28"/>
          <w:sz w:val="28"/>
          <w:szCs w:val="28"/>
          <w:u w:val="single"/>
          <w:shd w:fill="auto" w:val="clear"/>
          <w:vertAlign w:val="baseline"/>
        </w:rPr>
      </w:r>
    </w:p>
    <w:p>
      <w:pPr>
        <w:pStyle w:val="LOnormal"/>
        <w:keepNext w:val="false"/>
        <w:keepLines w:val="false"/>
        <w:pageBreakBefore w:val="false"/>
        <w:widowControl w:val="false"/>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Рівень вищої освіти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перший (бакалаврський)</w:t>
      </w:r>
    </w:p>
    <w:p>
      <w:pPr>
        <w:pStyle w:val="LOnormal"/>
        <w:keepNext w:val="false"/>
        <w:keepLines w:val="false"/>
        <w:pageBreakBefore w:val="false"/>
        <w:widowControl w:val="false"/>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singl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r>
    </w:p>
    <w:p>
      <w:pPr>
        <w:pStyle w:val="LOnormal"/>
        <w:keepNext w:val="false"/>
        <w:keepLines w:val="false"/>
        <w:pageBreakBefore w:val="false"/>
        <w:widowControl w:val="false"/>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Ступінь вищої освіти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бакалавр</w:t>
      </w:r>
    </w:p>
    <w:p>
      <w:pPr>
        <w:pStyle w:val="LOnormal"/>
        <w:keepNext w:val="false"/>
        <w:keepLines w:val="false"/>
        <w:pageBreakBefore w:val="false"/>
        <w:widowControl w:val="false"/>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singl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r>
    </w:p>
    <w:p>
      <w:pPr>
        <w:pStyle w:val="LOnormal"/>
        <w:keepNext w:val="false"/>
        <w:keepLines w:val="false"/>
        <w:pageBreakBefore w:val="false"/>
        <w:widowControl w:val="false"/>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Галузь знань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01 Освіта / Педагогіка</w:t>
      </w:r>
    </w:p>
    <w:p>
      <w:pPr>
        <w:pStyle w:val="LOnormal"/>
        <w:keepNext w:val="false"/>
        <w:keepLines w:val="false"/>
        <w:pageBreakBefore w:val="false"/>
        <w:widowControl w:val="false"/>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singl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r>
    </w:p>
    <w:p>
      <w:pPr>
        <w:pStyle w:val="LOnormal"/>
        <w:keepNext w:val="false"/>
        <w:keepLines w:val="false"/>
        <w:pageBreakBefore w:val="false"/>
        <w:widowControl w:val="false"/>
        <w:shd w:val="clear" w:fill="auto"/>
        <w:spacing w:lineRule="auto" w:line="288"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Спеціальність</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 xml:space="preserve"> 014 Середня освіта</w:t>
      </w:r>
    </w:p>
    <w:p>
      <w:pPr>
        <w:pStyle w:val="LOnormal"/>
        <w:keepNext w:val="false"/>
        <w:keepLines w:val="false"/>
        <w:pageBreakBefore w:val="false"/>
        <w:widowControl w:val="false"/>
        <w:shd w:val="clear" w:fill="auto"/>
        <w:spacing w:lineRule="auto" w:line="288"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singl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Предметна спеціальність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014.01 Середня освіта. (Українська мова і література), 014.02 Середня освіта. Мова та література (англійська)</w:t>
      </w:r>
    </w:p>
    <w:p>
      <w:pPr>
        <w:pStyle w:val="LOnormal"/>
        <w:keepNext w:val="false"/>
        <w:keepLines w:val="false"/>
        <w:pageBreakBefore w:val="false"/>
        <w:widowControl w:val="false"/>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Спеціалізація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014.01 Українська мова і література, 014.021 Англійська мова і література</w:t>
      </w:r>
    </w:p>
    <w:p>
      <w:pPr>
        <w:pStyle w:val="LOnormal"/>
        <w:keepNext w:val="false"/>
        <w:keepLines w:val="false"/>
        <w:pageBreakBefore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288"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Кваліфікація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бакалавр середньої освіти, вчитель української мови і літератури,</w:t>
      </w:r>
      <w:r>
        <w:rPr>
          <w:rFonts w:eastAsia="Times New Roman" w:cs="Times New Roman" w:ascii="Times New Roman" w:hAnsi="Times New Roman"/>
          <w:sz w:val="28"/>
          <w:szCs w:val="28"/>
          <w:u w:val="single"/>
        </w:rPr>
        <w:t xml:space="preserve"> вчитель української мови як іноземної, в</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читель англійської мови і зарубіжної літератури</w:t>
      </w:r>
    </w:p>
    <w:p>
      <w:pPr>
        <w:pStyle w:val="LOnormal"/>
        <w:keepNext w:val="false"/>
        <w:keepLines w:val="false"/>
        <w:pageBreakBefore w:val="false"/>
        <w:widowControl w:val="false"/>
        <w:shd w:val="clear" w:fill="auto"/>
        <w:spacing w:lineRule="auto" w:line="288"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88"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288"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Київ 202</w:t>
      </w:r>
      <w:r>
        <w:rPr>
          <w:rFonts w:eastAsia="Times New Roman" w:cs="Times New Roman" w:ascii="Times New Roman" w:hAnsi="Times New Roman"/>
          <w:sz w:val="28"/>
          <w:szCs w:val="28"/>
        </w:rPr>
        <w:t>3</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р.</w:t>
      </w:r>
      <w:r>
        <w:br w:type="page"/>
      </w:r>
    </w:p>
    <w:p>
      <w:pPr>
        <w:pStyle w:val="LOnormal"/>
        <w:keepNext w:val="false"/>
        <w:keepLines w:val="false"/>
        <w:widowControl w:val="false"/>
        <w:shd w:val="clear" w:fill="auto"/>
        <w:spacing w:lineRule="auto" w:line="240" w:before="0" w:after="0"/>
        <w:ind w:left="0" w:right="0" w:hanging="0"/>
        <w:jc w:val="right"/>
        <w:rPr>
          <w:i/>
          <w:i/>
          <w:iCs/>
          <w:u w:val="single"/>
        </w:rPr>
      </w:pPr>
      <w:r>
        <w:rPr>
          <w:rFonts w:ascii="Times New Roman" w:hAnsi="Times New Roman"/>
          <w:b/>
          <w:bCs/>
          <w:i/>
          <w:iCs/>
          <w:sz w:val="24"/>
          <w:szCs w:val="24"/>
          <w:u w:val="single"/>
        </w:rPr>
        <w:t>П Р О Є К Т</w:t>
      </w:r>
    </w:p>
    <w:p>
      <w:pPr>
        <w:pStyle w:val="LOnormal"/>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smallCaps/>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smallCaps/>
          <w:strike w:val="false"/>
          <w:dstrike w:val="false"/>
          <w:color w:val="000000"/>
          <w:position w:val="0"/>
          <w:sz w:val="28"/>
          <w:sz w:val="28"/>
          <w:szCs w:val="28"/>
          <w:u w:val="none"/>
          <w:shd w:fill="auto" w:val="clear"/>
          <w:vertAlign w:val="baseline"/>
        </w:rPr>
        <w:t>ЛИСТ ПОГОДЖЕННЯ</w:t>
      </w:r>
    </w:p>
    <w:p>
      <w:pPr>
        <w:pStyle w:val="LOnormal"/>
        <w:keepNext w:val="false"/>
        <w:keepLines w:val="false"/>
        <w:pageBreakBefore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smallCaps/>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smallCaps/>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Освітньо-професійної програми</w:t>
      </w:r>
    </w:p>
    <w:p>
      <w:pPr>
        <w:pStyle w:val="LOnormal"/>
        <w:keepNext w:val="false"/>
        <w:keepLines w:val="false"/>
        <w:pageBreakBefore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single"/>
          <w:shd w:fill="auto" w:val="clear"/>
          <w:vertAlign w:val="baseline"/>
        </w:rPr>
        <w:t>Українська мова і література та англійські філологічні студії</w:t>
      </w:r>
    </w:p>
    <w:p>
      <w:pPr>
        <w:pStyle w:val="LOnormal"/>
        <w:keepNext w:val="false"/>
        <w:keepLines w:val="false"/>
        <w:pageBreakBefore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singl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Рівень вищої освіти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перший (бакалаврський)</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singl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Ступінь вищої освіти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бакалавр</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singl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Галузь знань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01 Освіта / Педагогіка</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singl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Спеціальність</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 xml:space="preserve"> 014 Середня освіта</w:t>
      </w:r>
    </w:p>
    <w:p>
      <w:pPr>
        <w:pStyle w:val="LOnormal"/>
        <w:keepNext w:val="false"/>
        <w:keepLines w:val="false"/>
        <w:pageBreakBefore w:val="false"/>
        <w:widowControl w:val="false"/>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singl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Предметна спеціальність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014.01 Середня освіта. (Українська мова і література), 014.02 Середня освіта. Мова та література (англійська)</w:t>
      </w:r>
    </w:p>
    <w:p>
      <w:pPr>
        <w:pStyle w:val="LOnormal"/>
        <w:keepNext w:val="false"/>
        <w:keepLines w:val="false"/>
        <w:pageBreakBefore w:val="false"/>
        <w:widowControl w:val="false"/>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singl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Спеціалізація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014.01 Українська мова і література, 014.021 Англійська мова і література</w:t>
      </w:r>
    </w:p>
    <w:p>
      <w:pPr>
        <w:pStyle w:val="LOnormal"/>
        <w:keepNext w:val="false"/>
        <w:keepLines w:val="false"/>
        <w:pageBreakBefore w:val="false"/>
        <w:widowControl w:val="false"/>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singl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singl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singl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Проректорка з науково-педагогічної діяльності (освітня діяльність)</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______________________________________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Оксана МОРГУЛЕЦЬ</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Схвалено Вченою радою навчально-наукового інституту права та сучасних технологій</w:t>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Протокол від ___ ____________ 2022 року № ___</w:t>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Директорка навчально-наукового інституту права та сучасних технологій</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______________________________________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Тетяна ВЛАСЮК</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Обговорено та рекомендовано на засіданні кафедри </w:t>
      </w:r>
      <w:r>
        <w:rPr>
          <w:rFonts w:eastAsia="Times New Roman" w:cs="Times New Roman" w:ascii="Times New Roman" w:hAnsi="Times New Roman"/>
          <w:b/>
          <w:sz w:val="24"/>
          <w:szCs w:val="24"/>
        </w:rPr>
        <w:t>філології та перекладу</w:t>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Протокол від __ _____________ 2022 року № ___</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Завідувачка кафедри </w:t>
      </w:r>
      <w:r>
        <w:rPr>
          <w:rFonts w:eastAsia="Times New Roman" w:cs="Times New Roman" w:ascii="Times New Roman" w:hAnsi="Times New Roman"/>
          <w:b/>
          <w:sz w:val="24"/>
          <w:szCs w:val="24"/>
        </w:rPr>
        <w:t xml:space="preserve">філології та перекладу </w:t>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____________________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Юлія БОНДАРЧУК</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Гарантка освітньої програми</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______________________________________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Світлана ДВОРЯНЧИКОВА</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Введено в дію наказом КНУТД від «__» ______ 202</w:t>
      </w:r>
      <w:r>
        <w:rPr>
          <w:rFonts w:eastAsia="Times New Roman" w:cs="Times New Roman" w:ascii="Times New Roman" w:hAnsi="Times New Roman"/>
          <w:sz w:val="24"/>
          <w:szCs w:val="24"/>
        </w:rPr>
        <w:t>3</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року № ____</w:t>
      </w:r>
      <w:r>
        <w:br w:type="page"/>
      </w:r>
    </w:p>
    <w:p>
      <w:pPr>
        <w:pStyle w:val="LOnormal"/>
        <w:keepNext w:val="false"/>
        <w:keepLines w:val="false"/>
        <w:widowControl w:val="false"/>
        <w:shd w:val="clear" w:fill="auto"/>
        <w:spacing w:lineRule="auto" w:line="240" w:before="0" w:after="0"/>
        <w:ind w:left="0" w:right="0" w:hanging="0"/>
        <w:jc w:val="right"/>
        <w:rPr>
          <w:i/>
          <w:i/>
          <w:iCs/>
          <w:u w:val="single"/>
        </w:rPr>
      </w:pPr>
      <w:r>
        <w:rPr>
          <w:rFonts w:ascii="Times New Roman" w:hAnsi="Times New Roman"/>
          <w:b/>
          <w:bCs/>
          <w:i/>
          <w:iCs/>
          <w:sz w:val="24"/>
          <w:szCs w:val="24"/>
          <w:u w:val="single"/>
        </w:rPr>
        <w:t>П Р О Є К Т</w:t>
      </w:r>
    </w:p>
    <w:p>
      <w:pPr>
        <w:pStyle w:val="LOnormal"/>
        <w:widowControl w:val="false"/>
        <w:shd w:val="clear" w:fill="auto"/>
        <w:spacing w:lineRule="auto" w:line="288" w:before="0" w:after="0"/>
        <w:ind w:left="0" w:right="0" w:hanging="0"/>
        <w:jc w:val="center"/>
        <w:rPr>
          <w:rFonts w:ascii="Times New Roman" w:hAnsi="Times New Roman" w:eastAsia="Times New Roman" w:cs="Times New Roman"/>
          <w:b w:val="false"/>
          <w:b w:val="false"/>
          <w:i w:val="false"/>
          <w:i w:val="false"/>
          <w:smallCaps/>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smallCaps/>
          <w:strike w:val="false"/>
          <w:dstrike w:val="false"/>
          <w:color w:val="000000"/>
          <w:position w:val="0"/>
          <w:sz w:val="28"/>
          <w:sz w:val="28"/>
          <w:szCs w:val="28"/>
          <w:u w:val="none"/>
          <w:shd w:fill="auto" w:val="clear"/>
          <w:vertAlign w:val="baseline"/>
        </w:rPr>
        <w:t>ПЕРЕДМОВА</w:t>
      </w:r>
    </w:p>
    <w:p>
      <w:pPr>
        <w:pStyle w:val="LOnormal"/>
        <w:keepNext w:val="false"/>
        <w:keepLines w:val="false"/>
        <w:pageBreakBefore w:val="false"/>
        <w:widowControl w:val="false"/>
        <w:shd w:val="clear" w:fill="auto"/>
        <w:spacing w:lineRule="auto" w:line="276" w:before="0" w:after="14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360" w:before="0" w:after="0"/>
        <w:ind w:left="0" w:right="0" w:hanging="0"/>
        <w:jc w:val="left"/>
        <w:rPr>
          <w:rFonts w:ascii="Times New Roman" w:hAnsi="Times New Roman" w:eastAsia="Times New Roman" w:cs="Times New Roman"/>
          <w:sz w:val="24"/>
          <w:szCs w:val="24"/>
          <w:u w:val="singl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РОЗРОБЛЕНО: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Київський національний університет технологій та дизайну</w:t>
      </w:r>
    </w:p>
    <w:p>
      <w:pPr>
        <w:pStyle w:val="LOnormal"/>
        <w:keepNext w:val="false"/>
        <w:keepLines w:val="false"/>
        <w:pageBreakBefore w:val="false"/>
        <w:widowControl w:val="false"/>
        <w:shd w:val="clear" w:fill="auto"/>
        <w:spacing w:lineRule="auto" w:line="360" w:before="0" w:after="0"/>
        <w:ind w:left="0" w:right="0" w:hanging="0"/>
        <w:jc w:val="left"/>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LOnormal"/>
        <w:keepNext w:val="false"/>
        <w:keepLines w:val="false"/>
        <w:pageBreakBefore w:val="false"/>
        <w:widowControl w:val="false"/>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b w:val="false"/>
          <w:i w:val="false"/>
          <w:smallCaps/>
          <w:strike w:val="false"/>
          <w:dstrike w:val="false"/>
          <w:color w:val="000000"/>
          <w:position w:val="0"/>
          <w:sz w:val="24"/>
          <w:sz w:val="24"/>
          <w:szCs w:val="24"/>
          <w:u w:val="none"/>
          <w:shd w:fill="auto" w:val="clear"/>
          <w:vertAlign w:val="baseline"/>
        </w:rPr>
        <w:t>РОЗРОБНИКИ</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LOnormal"/>
        <w:keepNext w:val="false"/>
        <w:keepLines w:val="false"/>
        <w:pageBreakBefore w:val="false"/>
        <w:widowControl w:val="false"/>
        <w:shd w:val="clear" w:fill="auto"/>
        <w:spacing w:lineRule="auto" w:line="36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Гарантка освітньої програми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Дворянчикова Світлана Євгенівна</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к. філол. н., доцентка, доцентка кафедри філології та перекладу Київського національного університету технологій та дизайну</w:t>
      </w:r>
    </w:p>
    <w:p>
      <w:pPr>
        <w:pStyle w:val="LOnormal"/>
        <w:keepNext w:val="false"/>
        <w:keepLines w:val="false"/>
        <w:pageBreakBefore w:val="false"/>
        <w:widowControl w:val="false"/>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Членкині робочої групи:</w:t>
      </w:r>
    </w:p>
    <w:p>
      <w:pPr>
        <w:pStyle w:val="LOnormal"/>
        <w:keepNext w:val="false"/>
        <w:keepLines w:val="false"/>
        <w:pageBreakBefore w:val="false"/>
        <w:widowControl w:val="false"/>
        <w:shd w:val="clear" w:fill="auto"/>
        <w:spacing w:lineRule="auto" w:line="36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Бондарчук Юлія Андріївна</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к. філол. н., доцентка, завідувачка кафедри філології та перекладу Київського національного університету технологій та дизайну;</w:t>
      </w:r>
    </w:p>
    <w:p>
      <w:pPr>
        <w:pStyle w:val="LOnormal"/>
        <w:keepNext w:val="false"/>
        <w:keepLines w:val="false"/>
        <w:pageBreakBefore w:val="false"/>
        <w:widowControl w:val="false"/>
        <w:shd w:val="clear" w:fill="auto"/>
        <w:spacing w:lineRule="auto" w:line="36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Синявська Ольга Євгенівна</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к. філол. н., доцентка кафедри філології та перекладу Київського національного університету технологій та дизайну;</w:t>
      </w:r>
    </w:p>
    <w:p>
      <w:pPr>
        <w:pStyle w:val="LOnormal"/>
        <w:keepNext w:val="false"/>
        <w:keepLines w:val="false"/>
        <w:pageBreakBefore w:val="false"/>
        <w:widowControl w:val="false"/>
        <w:shd w:val="clear" w:fill="auto"/>
        <w:spacing w:lineRule="auto" w:line="36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Юган Наталія Леонідівна</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д. філол. н., доцентка, стажувальниця Інституту германістики Дюссельдорфського університету імені Генріха Гейне.</w:t>
      </w:r>
    </w:p>
    <w:p>
      <w:pPr>
        <w:pStyle w:val="LOnormal"/>
        <w:keepNext w:val="false"/>
        <w:keepLines w:val="false"/>
        <w:pageBreakBefore w:val="false"/>
        <w:widowControl w:val="false"/>
        <w:shd w:val="clear" w:fill="auto"/>
        <w:spacing w:lineRule="auto" w:line="360" w:before="0" w:after="14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36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РЕЦЕНЗІЇ ЗОВНІШНІХ СТЕЙКХОЛДЕРІВ</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LOnormal"/>
        <w:keepNext w:val="false"/>
        <w:keepLines w:val="false"/>
        <w:pageBreakBefore w:val="false"/>
        <w:widowControl w:val="false"/>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 Верещак</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Ю</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викладачка кафедри перекладу, прикладної та загальної лінгвістики, керівни</w:t>
      </w:r>
      <w:r>
        <w:rPr>
          <w:rFonts w:eastAsia="Times New Roman" w:cs="Times New Roman" w:ascii="Times New Roman" w:hAnsi="Times New Roman"/>
          <w:sz w:val="24"/>
          <w:szCs w:val="24"/>
        </w:rPr>
        <w:t>ця</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sz w:val="24"/>
          <w:szCs w:val="24"/>
        </w:rPr>
        <w:t>л</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іцензованого </w:t>
      </w:r>
      <w:r>
        <w:rPr>
          <w:rFonts w:eastAsia="Times New Roman" w:cs="Times New Roman" w:ascii="Times New Roman" w:hAnsi="Times New Roman"/>
          <w:sz w:val="24"/>
          <w:szCs w:val="24"/>
        </w:rPr>
        <w:t>м</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овного </w:t>
      </w:r>
      <w:r>
        <w:rPr>
          <w:rFonts w:eastAsia="Times New Roman" w:cs="Times New Roman" w:ascii="Times New Roman" w:hAnsi="Times New Roman"/>
          <w:sz w:val="24"/>
          <w:szCs w:val="24"/>
        </w:rPr>
        <w:t>ц</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ентру, заступни</w:t>
      </w:r>
      <w:r>
        <w:rPr>
          <w:rFonts w:eastAsia="Times New Roman" w:cs="Times New Roman" w:ascii="Times New Roman" w:hAnsi="Times New Roman"/>
          <w:sz w:val="24"/>
          <w:szCs w:val="24"/>
        </w:rPr>
        <w:t>ця</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декана</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 виховної та профорієнтаційної роботи факультету української філології, іноземних мов та соціальних комунікацій Центральноукраїнського державного університету імені Володимира Винниченка;</w:t>
      </w:r>
    </w:p>
    <w:p>
      <w:pPr>
        <w:pStyle w:val="LOnormal"/>
        <w:keepNext w:val="false"/>
        <w:keepLines w:val="false"/>
        <w:pageBreakBefore w:val="false"/>
        <w:widowControl w:val="false"/>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2)</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Макаришин Т.</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 вчителька української мови і літератури спеціалізованої</w:t>
      </w:r>
      <w:r>
        <w:rPr>
          <w:rFonts w:eastAsia="Times New Roman" w:cs="Times New Roman" w:ascii="Times New Roman" w:hAnsi="Times New Roman"/>
          <w:sz w:val="24"/>
          <w:szCs w:val="24"/>
        </w:rPr>
        <w:t xml:space="preserve"> загальноосвітньої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школи І-ІІІ ступенів з поглибленим вивченням іноземних мов № 329 </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Логос</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імені Г</w:t>
      </w:r>
      <w:r>
        <w:rPr>
          <w:rFonts w:eastAsia="Times New Roman" w:cs="Times New Roman" w:ascii="Times New Roman" w:hAnsi="Times New Roman"/>
          <w:sz w:val="24"/>
          <w:szCs w:val="24"/>
        </w:rPr>
        <w:t xml:space="preserve">еоргія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Гонгадзе;</w:t>
      </w:r>
    </w:p>
    <w:p>
      <w:pPr>
        <w:pStyle w:val="LO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Перехейда В. В., к. соц. ком., асистент кафедри української філології для іноземних громадян Київського національного університету імені Тараса Шевченка;</w:t>
      </w:r>
    </w:p>
    <w:p>
      <w:pPr>
        <w:pStyle w:val="LOnormal"/>
        <w:keepNext w:val="false"/>
        <w:keepLines w:val="false"/>
        <w:pageBreakBefore w:val="false"/>
        <w:widowControl w:val="false"/>
        <w:shd w:val="clear" w:fill="auto"/>
        <w:spacing w:lineRule="auto" w:line="36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Піскун С.</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О., вчителька англійської мови </w:t>
      </w:r>
      <w:r>
        <w:rPr>
          <w:rFonts w:eastAsia="Times New Roman" w:cs="Times New Roman" w:ascii="Times New Roman" w:hAnsi="Times New Roman"/>
          <w:sz w:val="24"/>
          <w:szCs w:val="24"/>
        </w:rPr>
        <w:t>к</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омунальн</w:t>
      </w:r>
      <w:r>
        <w:rPr>
          <w:rFonts w:eastAsia="Times New Roman" w:cs="Times New Roman" w:ascii="Times New Roman" w:hAnsi="Times New Roman"/>
          <w:sz w:val="24"/>
          <w:szCs w:val="24"/>
        </w:rPr>
        <w:t>ого</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закладу </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Ліцей </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Муніципальний колегіум</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Кропивницької міської ради</w:t>
      </w:r>
      <w:r>
        <w:rPr>
          <w:rFonts w:eastAsia="Times New Roman" w:cs="Times New Roman" w:ascii="Times New Roman" w:hAnsi="Times New Roman"/>
          <w:sz w:val="24"/>
          <w:szCs w:val="24"/>
        </w:rPr>
        <w:t>»;</w:t>
      </w:r>
    </w:p>
    <w:p>
      <w:pPr>
        <w:pStyle w:val="LO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Салахатдінова Е., к. філол. н., викладачка кафедри слов’янських мов і літератур факультету літератур Стамбульського університету, викладачка мовного центру Стамбульського університету (Турецька Республіка);</w:t>
      </w:r>
    </w:p>
    <w:p>
      <w:pPr>
        <w:pStyle w:val="LOnormal"/>
        <w:keepNext w:val="false"/>
        <w:keepLines w:val="false"/>
        <w:pageBreakBefore w:val="false"/>
        <w:widowControl w:val="false"/>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bookmarkStart w:id="0" w:name="_gjdgxs"/>
      <w:bookmarkEnd w:id="0"/>
      <w:r>
        <w:rPr>
          <w:rFonts w:eastAsia="Times New Roman" w:cs="Times New Roman" w:ascii="Times New Roman" w:hAnsi="Times New Roman"/>
          <w:sz w:val="24"/>
          <w:szCs w:val="24"/>
        </w:rPr>
        <w:t>6</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Шпетна С. А., к. пед. н., доцен</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тка, </w:t>
      </w:r>
      <w:r>
        <w:rPr>
          <w:rFonts w:eastAsia="Times New Roman" w:cs="Times New Roman" w:ascii="Times New Roman" w:hAnsi="Times New Roman"/>
          <w:sz w:val="24"/>
          <w:szCs w:val="24"/>
        </w:rPr>
        <w:t xml:space="preserve">почесна професорка державного закладу «Луганський національний університет імені Тараса Шевченка»,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завідувачка кафедри іноземної мови за професійним спрямуванням</w:t>
      </w:r>
      <w:r>
        <w:rPr>
          <w:rFonts w:eastAsia="Times New Roman" w:cs="Times New Roman" w:ascii="Times New Roman" w:hAnsi="Times New Roman"/>
          <w:sz w:val="24"/>
          <w:szCs w:val="24"/>
        </w:rPr>
        <w:t xml:space="preserve"> державного закладу</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«Луганський національний університет імені Т</w:t>
      </w:r>
      <w:r>
        <w:rPr>
          <w:rFonts w:eastAsia="Times New Roman" w:cs="Times New Roman" w:ascii="Times New Roman" w:hAnsi="Times New Roman"/>
          <w:sz w:val="24"/>
          <w:szCs w:val="24"/>
        </w:rPr>
        <w:t xml:space="preserve">араса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Шевченка»</w:t>
      </w:r>
      <w:r>
        <w:rPr>
          <w:rFonts w:eastAsia="Times New Roman" w:cs="Times New Roman" w:ascii="Times New Roman" w:hAnsi="Times New Roman"/>
          <w:sz w:val="24"/>
          <w:szCs w:val="24"/>
        </w:rPr>
        <w:t>.</w:t>
      </w:r>
    </w:p>
    <w:p>
      <w:pPr>
        <w:pStyle w:val="LOnormal"/>
        <w:keepNext w:val="false"/>
        <w:keepLines w:val="false"/>
        <w:pageBreakBefore w:val="false"/>
        <w:widowControl w:val="false"/>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r>
        <w:br w:type="page"/>
      </w:r>
    </w:p>
    <w:p>
      <w:pPr>
        <w:pStyle w:val="LOnormal"/>
        <w:keepNext w:val="false"/>
        <w:keepLines w:val="false"/>
        <w:widowControl w:val="false"/>
        <w:shd w:val="clear" w:fill="auto"/>
        <w:spacing w:lineRule="auto" w:line="240" w:before="0" w:after="0"/>
        <w:ind w:left="0" w:right="0" w:hanging="0"/>
        <w:jc w:val="right"/>
        <w:rPr>
          <w:i/>
          <w:i/>
          <w:iCs/>
          <w:u w:val="single"/>
        </w:rPr>
      </w:pPr>
      <w:r>
        <w:rPr>
          <w:rFonts w:ascii="Times New Roman" w:hAnsi="Times New Roman"/>
          <w:b/>
          <w:bCs/>
          <w:i/>
          <w:iCs/>
          <w:sz w:val="24"/>
          <w:szCs w:val="24"/>
          <w:u w:val="single"/>
        </w:rPr>
        <w:t>П Р О Є К Т</w:t>
      </w:r>
    </w:p>
    <w:p>
      <w:pPr>
        <w:pStyle w:val="LOnormal"/>
        <w:widowControl/>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1. Профіль освітньо-професійної програми</w:t>
      </w:r>
    </w:p>
    <w:p>
      <w:pPr>
        <w:pStyle w:val="LOnormal"/>
        <w:keepNext w:val="false"/>
        <w:keepLines w:val="false"/>
        <w:pageBreakBefore w:val="false"/>
        <w:widowControl/>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single"/>
          <w:shd w:fill="auto" w:val="clear"/>
          <w:vertAlign w:val="baseline"/>
        </w:rPr>
        <w:t>Українська мова і література та англійські філологічні студії</w:t>
      </w:r>
    </w:p>
    <w:tbl>
      <w:tblPr>
        <w:tblStyle w:val="Table1"/>
        <w:tblW w:w="9840" w:type="dxa"/>
        <w:jc w:val="left"/>
        <w:tblInd w:w="-111" w:type="dxa"/>
        <w:tblLayout w:type="fixed"/>
        <w:tblCellMar>
          <w:top w:w="0" w:type="dxa"/>
          <w:left w:w="108" w:type="dxa"/>
          <w:bottom w:w="0" w:type="dxa"/>
          <w:right w:w="108" w:type="dxa"/>
        </w:tblCellMar>
        <w:tblLook w:val="0000"/>
      </w:tblPr>
      <w:tblGrid>
        <w:gridCol w:w="1002"/>
        <w:gridCol w:w="720"/>
        <w:gridCol w:w="930"/>
        <w:gridCol w:w="120"/>
        <w:gridCol w:w="450"/>
        <w:gridCol w:w="6618"/>
      </w:tblGrid>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 – Загальна інформація</w:t>
            </w:r>
          </w:p>
        </w:tc>
      </w:tr>
      <w:tr>
        <w:trPr>
          <w:trHeight w:val="20" w:hRule="atLeast"/>
        </w:trPr>
        <w:tc>
          <w:tcPr>
            <w:tcW w:w="3222"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Повна назва вищого навчального закладу та структурного підрозділу</w:t>
            </w:r>
          </w:p>
        </w:tc>
        <w:tc>
          <w:tcPr>
            <w:tcW w:w="661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Київський національний університет технологій та дизайну.</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Кафедра філології та перекладу.</w:t>
            </w:r>
          </w:p>
        </w:tc>
      </w:tr>
      <w:tr>
        <w:trPr>
          <w:trHeight w:val="20" w:hRule="atLeast"/>
        </w:trPr>
        <w:tc>
          <w:tcPr>
            <w:tcW w:w="3222"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34"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Ступінь вищої освіти та кваліфікація мовою оригіналу</w:t>
            </w:r>
          </w:p>
        </w:tc>
        <w:tc>
          <w:tcPr>
            <w:tcW w:w="661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Рівень вищої освіти – перший (бакалаврський).</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Ступінь вищої освіти – бакалавр.</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i/>
                <w:i/>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Галузь знань – 01 Освіта / Педагогіка.</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Спеціальність – 014 Середня освіта.</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Предметна спеціальність – 014.01 Середня освіта. (Українська мова і література), 014.02 Середня освіта. Мова та література (англійська).</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Спеціалізація – 014.01 Українська мова і література, 014.021 Англійська мова і література.</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Кваліфікація – бакалавр середньої освіти, вчитель української мови і літератур</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и, вчитель </w:t>
            </w:r>
            <w:r>
              <w:rPr>
                <w:rFonts w:eastAsia="Times New Roman" w:cs="Times New Roman" w:ascii="Times New Roman" w:hAnsi="Times New Roman"/>
                <w:sz w:val="24"/>
                <w:szCs w:val="24"/>
              </w:rPr>
              <w:t xml:space="preserve">української мови як іноземної,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вчитель англійської мови і зарубіжної літератури.</w:t>
            </w:r>
          </w:p>
        </w:tc>
      </w:tr>
      <w:tr>
        <w:trPr>
          <w:trHeight w:val="20" w:hRule="atLeast"/>
        </w:trPr>
        <w:tc>
          <w:tcPr>
            <w:tcW w:w="3222"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Тип диплому та обсяг освітньої програми</w:t>
            </w:r>
          </w:p>
        </w:tc>
        <w:tc>
          <w:tcPr>
            <w:tcW w:w="661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Диплом бакалавра, одиничний, 240 кредитів ЄКТС/</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180 кредитів ЄКТС за скороченим терміном навчання.</w:t>
            </w:r>
          </w:p>
        </w:tc>
      </w:tr>
      <w:tr>
        <w:trPr>
          <w:trHeight w:val="20" w:hRule="atLeast"/>
        </w:trPr>
        <w:tc>
          <w:tcPr>
            <w:tcW w:w="3222"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Наявність акредитації</w:t>
            </w:r>
          </w:p>
        </w:tc>
        <w:tc>
          <w:tcPr>
            <w:tcW w:w="661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w:t>
            </w:r>
          </w:p>
        </w:tc>
      </w:tr>
      <w:tr>
        <w:trPr>
          <w:trHeight w:val="20" w:hRule="atLeast"/>
        </w:trPr>
        <w:tc>
          <w:tcPr>
            <w:tcW w:w="3222"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Цикл/рівень</w:t>
            </w:r>
          </w:p>
        </w:tc>
        <w:tc>
          <w:tcPr>
            <w:tcW w:w="661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Національна рамка кваліфікації України – 6 рівень.</w:t>
            </w:r>
          </w:p>
        </w:tc>
      </w:tr>
      <w:tr>
        <w:trPr>
          <w:trHeight w:val="20" w:hRule="atLeast"/>
        </w:trPr>
        <w:tc>
          <w:tcPr>
            <w:tcW w:w="3222"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Передумови</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tc>
        <w:tc>
          <w:tcPr>
            <w:tcW w:w="661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Повна загальна середня освіта, фахова передвища освіта або ступінь молодшого бакалавра (молодшого спеціаліста). Відповідно до Стандарту вищої освіти за спеціальністю на базі ступеня молодшого бакалавра (ОКР молодшого спеціаліста) Університет визнає та перезараховує кредити ЄКТС, отримані в межах попередньої освітньої програми підготовки молодшого бакалавра (молодшого спеціаліста).</w:t>
            </w:r>
          </w:p>
        </w:tc>
      </w:tr>
      <w:tr>
        <w:trPr>
          <w:trHeight w:val="20" w:hRule="atLeast"/>
        </w:trPr>
        <w:tc>
          <w:tcPr>
            <w:tcW w:w="3222"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108"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Мова(и) викладання</w:t>
            </w:r>
          </w:p>
        </w:tc>
        <w:tc>
          <w:tcPr>
            <w:tcW w:w="661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Українська, англійська</w:t>
            </w:r>
          </w:p>
        </w:tc>
      </w:tr>
      <w:tr>
        <w:trPr>
          <w:trHeight w:val="20" w:hRule="atLeast"/>
        </w:trPr>
        <w:tc>
          <w:tcPr>
            <w:tcW w:w="3222"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Термін дії освітньої програми</w:t>
            </w:r>
          </w:p>
        </w:tc>
        <w:tc>
          <w:tcPr>
            <w:tcW w:w="661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w:t>
            </w:r>
          </w:p>
        </w:tc>
      </w:tr>
      <w:tr>
        <w:trPr>
          <w:trHeight w:val="20" w:hRule="atLeast"/>
        </w:trPr>
        <w:tc>
          <w:tcPr>
            <w:tcW w:w="3222"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48"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Інтернет-адреса постійного розміщення опису освітньої програми</w:t>
            </w:r>
          </w:p>
        </w:tc>
        <w:tc>
          <w:tcPr>
            <w:tcW w:w="661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https://knutd.edu.ua/ekts/</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2 – Мета освітньої програми</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Метою освітньої програми є підготовка висококваліфікованих конкурентоспроможних фахівців, які володіють глибокими загальними знаннями та</w:t>
            </w:r>
            <w:r>
              <w:rPr>
                <w:rFonts w:eastAsia="Times New Roman" w:cs="Times New Roman" w:ascii="Times New Roman" w:hAnsi="Times New Roman"/>
                <w:sz w:val="24"/>
                <w:szCs w:val="24"/>
                <w:highlight w:val="white"/>
              </w:rPr>
              <w:t xml:space="preserve"> фундаментальною теоретичною базою</w:t>
            </w:r>
            <w:r>
              <w:rPr>
                <w:rFonts w:eastAsia="Times New Roman" w:cs="Times New Roman" w:ascii="Times New Roman" w:hAnsi="Times New Roman"/>
                <w:sz w:val="24"/>
                <w:szCs w:val="24"/>
              </w:rPr>
              <w:t xml:space="preserve"> з фахових дисциплін, практичними уміннями та навичками застосування новітніх методів і методик педагогічних та філологічних наук і технологій навчання, та які здатні до професійного самовдосконалення, творчої педагогічної діяльності та безперервної самоосвіти.</w:t>
            </w:r>
          </w:p>
          <w:p>
            <w:pPr>
              <w:pStyle w:val="LOnormal"/>
              <w:widowControl w:val="false"/>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Основними цілями програми є формування сучасних фахівців, чиї світоглядні орієнтири базуються на гуманістичних і національних ідеалах та громадянських цінностях і які здатні розв’язувати складні спеціалізовані завдання і практичні проблеми навчальної, методичної, науково-дослідної та організаційної роботи в галузі середньої освіти, що передбачає професійну діяльність з викладання української мови (зокрема української мови як іноземної) і літератури, англійської мови і зарубіжної літератури і характеризується комплексністю та невизначеністю умов.</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3 – Характеристика освітньої програми</w:t>
            </w:r>
          </w:p>
        </w:tc>
      </w:tr>
      <w:tr>
        <w:trPr>
          <w:trHeight w:val="20" w:hRule="atLeast"/>
        </w:trPr>
        <w:tc>
          <w:tcPr>
            <w:tcW w:w="1722"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Предметна область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r>
          </w:p>
        </w:tc>
        <w:tc>
          <w:tcPr>
            <w:tcW w:w="8118"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Програма орієнтована на формування у здобувачів компетентностей щодо набуття глибоких знань, умінь та навичок зі спеціальності 014 Середня освіта.</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Обов’язкові освітні компоненти – 75%, з них: загальної підготовки – 9%, професійної підготовки – 78%, практичн</w:t>
            </w:r>
            <w:r>
              <w:rPr>
                <w:rFonts w:eastAsia="Times New Roman" w:cs="Times New Roman" w:ascii="Times New Roman" w:hAnsi="Times New Roman"/>
                <w:sz w:val="24"/>
                <w:szCs w:val="24"/>
              </w:rPr>
              <w:t>ої</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 підготовк</w:t>
            </w:r>
            <w:r>
              <w:rPr>
                <w:rFonts w:eastAsia="Times New Roman" w:cs="Times New Roman" w:ascii="Times New Roman" w:hAnsi="Times New Roman"/>
                <w:sz w:val="24"/>
                <w:szCs w:val="24"/>
              </w:rPr>
              <w:t>и</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 13%. Дисципліни вільного вибору студента – 25%, обираються із загальноуніверситетського каталогу відповідно до затвердженої процедури в Університеті.</w:t>
            </w:r>
          </w:p>
        </w:tc>
      </w:tr>
      <w:tr>
        <w:trPr>
          <w:trHeight w:val="20" w:hRule="atLeast"/>
        </w:trPr>
        <w:tc>
          <w:tcPr>
            <w:tcW w:w="1722"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44"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Орієнтація освітньої програми</w:t>
            </w:r>
          </w:p>
        </w:tc>
        <w:tc>
          <w:tcPr>
            <w:tcW w:w="8118"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Освітньо-професійна програма для підготовки бакалавра.</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r>
          </w:p>
        </w:tc>
      </w:tr>
      <w:tr>
        <w:trPr>
          <w:trHeight w:val="20" w:hRule="atLeast"/>
        </w:trPr>
        <w:tc>
          <w:tcPr>
            <w:tcW w:w="1722"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Основний фокус освітньої програми</w:t>
            </w:r>
          </w:p>
        </w:tc>
        <w:tc>
          <w:tcPr>
            <w:tcW w:w="8118" w:type="dxa"/>
            <w:gridSpan w:val="4"/>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sz w:val="24"/>
                <w:szCs w:val="24"/>
              </w:rPr>
              <w:t>Акцент зроблений на оволодінні студентами загальними та фаховими компетентностями для успішного здійснення професійної діяльності вчителя української мови і літератури, української мови як іноземної, англійської мови і зарубіжної літератури на рівні, який забезпечує конкурентоспроможність на національному та міжнародному ринках праці в умовах сучасних закладів середньої освіти та організацій неформальної освіти.</w:t>
            </w:r>
          </w:p>
        </w:tc>
      </w:tr>
      <w:tr>
        <w:trPr>
          <w:trHeight w:val="20" w:hRule="atLeast"/>
        </w:trPr>
        <w:tc>
          <w:tcPr>
            <w:tcW w:w="1722"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Особливості освітньої програми</w:t>
            </w:r>
          </w:p>
        </w:tc>
        <w:tc>
          <w:tcPr>
            <w:tcW w:w="8118" w:type="dxa"/>
            <w:gridSpan w:val="4"/>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Програму орієнтовано на здобуття інтегрованої фахової освіти в сфері української мови і літератури, української мови як іноземної та англійської мови і зарубіжної літератури і набуття та імплементацію актуальних загальних і фахових компетентностей з перспективою подальшої професійної та наукової діяльності.</w:t>
            </w:r>
          </w:p>
          <w:p>
            <w:pPr>
              <w:pStyle w:val="LOnormal"/>
              <w:widowControl w:val="false"/>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 особливостей програми належить закладена можливість удосконалення набутих компетентностей у царині української і англійської мови та літератури, української мови як іноземної, педагогіки, методики викладання й психології для формування конкурентоспроможного на ринку праці фахівця з глибоким розумінням сучасних тенденцій реформування середньої освіти, особливостей навчання української мови інокомунікантів та високим творчим потенціалом.</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4 – Придатність випускників до працевлаштування та подальшого навчання</w:t>
            </w:r>
          </w:p>
        </w:tc>
      </w:tr>
      <w:tr>
        <w:trPr>
          <w:trHeight w:val="20" w:hRule="atLeast"/>
        </w:trPr>
        <w:tc>
          <w:tcPr>
            <w:tcW w:w="1722"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129"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Придатність до працевлаштування</w:t>
            </w:r>
          </w:p>
        </w:tc>
        <w:tc>
          <w:tcPr>
            <w:tcW w:w="8118"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Випускники програми придатні для працевлаштування  у сфері освіти.</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Згідно з </w:t>
            </w:r>
            <w:r>
              <w:rPr>
                <w:rFonts w:eastAsia="Times New Roman" w:cs="Times New Roman" w:ascii="Times New Roman" w:hAnsi="Times New Roman"/>
                <w:sz w:val="24"/>
                <w:szCs w:val="24"/>
              </w:rPr>
              <w:t>Н</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аціональним класифікатором України ДК 009:2010 випускники можуть працювати за видами економічної діяльності: 85.31 Загальна середня освіта, 85.32 Професійно-технічна освіта, згідно з класифікатором професій України ДК 003:2010 випускники можуть працювати у галузі освіти за підкласами і групами: 2320 Викладачі закладів загальної середньої освіти, 2340 Вчителі спеціалізованих навчальних закладів, 2351 Професіонали в галузі методів навчання, 2359 Інші професіонали в галузі навчання, 3340 Асистент вчителя, 5131 Помічник вчителя, 2359.2 Педагог-організатор, 1229.6 Керівник гуртка, 2451.2 Редактор літературний, 4143 Коректор (коригування текстів).</w:t>
            </w:r>
          </w:p>
        </w:tc>
      </w:tr>
      <w:tr>
        <w:trPr>
          <w:trHeight w:val="20" w:hRule="atLeast"/>
        </w:trPr>
        <w:tc>
          <w:tcPr>
            <w:tcW w:w="1722"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Подальше навчання</w:t>
            </w:r>
          </w:p>
        </w:tc>
        <w:tc>
          <w:tcPr>
            <w:tcW w:w="8118"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Можливість навчання за освітньо-науковою та/або освітньо-професійною програмою другого (магістерського) рівня вищої освіти та набувати додаткових кваліфікацій в системі післядипломної освіти.</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5 – Викладання та оцінювання</w:t>
            </w:r>
          </w:p>
        </w:tc>
      </w:tr>
      <w:tr>
        <w:trPr>
          <w:trHeight w:val="20" w:hRule="atLeast"/>
        </w:trPr>
        <w:tc>
          <w:tcPr>
            <w:tcW w:w="1722"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Викладання та навчання</w:t>
            </w:r>
          </w:p>
        </w:tc>
        <w:tc>
          <w:tcPr>
            <w:tcW w:w="8118"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Використовується студентоцентроване, проблемно зорієнтоване, професійно зорієнтоване навчання, навчання через навчальну і педагогічну практику та самонавчання. Система методів навчання базується на принципах цілеспрямованості, бінарності – активної безпосередньої участі науково-педагогічного працівника і здобувача вищої освіти із застосуванням комунікативного й міждисциплінарного підходів.</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Форми організації освітнього процесу: лекція, семінарське, практичне заняття, практична підготовка, самостійна робота, консультація, розробка фахових проєктів (робіт).</w:t>
            </w:r>
          </w:p>
        </w:tc>
      </w:tr>
      <w:tr>
        <w:trPr>
          <w:trHeight w:val="20" w:hRule="atLeast"/>
        </w:trPr>
        <w:tc>
          <w:tcPr>
            <w:tcW w:w="1722"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Оцінювання</w:t>
            </w:r>
          </w:p>
        </w:tc>
        <w:tc>
          <w:tcPr>
            <w:tcW w:w="8118"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highlight w:val="white"/>
                <w:u w:val="none"/>
                <w:vertAlign w:val="baseline"/>
              </w:rPr>
              <w:t>Екзамени, заліки, тести, есе, проєктні роботи, презентації, звіти.</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6 – Програмні компетентності</w:t>
            </w:r>
          </w:p>
        </w:tc>
      </w:tr>
      <w:tr>
        <w:trPr>
          <w:trHeight w:val="20" w:hRule="atLeast"/>
        </w:trPr>
        <w:tc>
          <w:tcPr>
            <w:tcW w:w="1722"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239" w:hanging="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Інтегральна компетентність</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(ІК)</w:t>
            </w:r>
          </w:p>
        </w:tc>
        <w:tc>
          <w:tcPr>
            <w:tcW w:w="8118" w:type="dxa"/>
            <w:gridSpan w:val="4"/>
            <w:tcBorders>
              <w:top w:val="single" w:sz="4" w:space="0" w:color="000000"/>
              <w:left w:val="single" w:sz="4" w:space="0" w:color="000000"/>
              <w:bottom w:val="single" w:sz="4" w:space="0" w:color="000000"/>
              <w:right w:val="single" w:sz="4" w:space="0" w:color="000000"/>
            </w:tcBorders>
          </w:tcPr>
          <w:p>
            <w:pPr>
              <w:pStyle w:val="LOnormal"/>
              <w:widowControl w:val="false"/>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Здатність розв’язувати складні спеціалізовані задачі та практичні проблеми в галузі середньої освіти в процесі професійної діяльності або навчання, що передбачає застосування теорій та методів педагогічних і філологічних наук (мовознавства, літературознавства, української мови і літератури, англійської мови і зарубіжної літератури, методики викладання української та англійської мов і літератур, викладання української мови як іноземної) і характеризується комплексністю та невизначеністю умов.</w:t>
            </w:r>
          </w:p>
        </w:tc>
      </w:tr>
      <w:tr>
        <w:trPr>
          <w:trHeight w:val="20" w:hRule="atLeast"/>
        </w:trPr>
        <w:tc>
          <w:tcPr>
            <w:tcW w:w="1722" w:type="dxa"/>
            <w:gridSpan w:val="2"/>
            <w:vMerge w:val="restart"/>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33" w:right="-8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Загальні компетентності</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(ЗК)</w:t>
            </w:r>
          </w:p>
        </w:tc>
        <w:tc>
          <w:tcPr>
            <w:tcW w:w="1050" w:type="dxa"/>
            <w:gridSpan w:val="2"/>
            <w:tcBorders>
              <w:top w:val="single" w:sz="4" w:space="0" w:color="000000"/>
              <w:left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1</w:t>
            </w:r>
          </w:p>
        </w:tc>
        <w:tc>
          <w:tcPr>
            <w:tcW w:w="7068" w:type="dxa"/>
            <w:gridSpan w:val="2"/>
            <w:tcBorders>
              <w:top w:val="single" w:sz="4" w:space="0" w:color="000000"/>
              <w:left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діяти відповідально і свідомо на засадах поваги до прав і свобод людини та громадянина; реалізувати свої права і обов’язки; усвідомлювати цінності громадянського суспільства та необхідність його сталого розвитку.</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2</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до міжособистісної взаємодії, роботи в команді та автономно, спілкування з представниками інших професійних груп різного рівня.</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3</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та культурної ідентичності, творчого самовираження.</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4</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w:t>
            </w:r>
            <w:r>
              <w:rPr>
                <w:rFonts w:eastAsia="Times New Roman" w:cs="Times New Roman" w:ascii="Times New Roman" w:hAnsi="Times New Roman"/>
                <w:sz w:val="24"/>
                <w:szCs w:val="24"/>
              </w:rPr>
              <w:t xml:space="preserve"> ухвалювати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ефективн</w:t>
            </w:r>
            <w:r>
              <w:rPr>
                <w:rFonts w:eastAsia="Times New Roman" w:cs="Times New Roman" w:ascii="Times New Roman" w:hAnsi="Times New Roman"/>
                <w:sz w:val="24"/>
                <w:szCs w:val="24"/>
              </w:rPr>
              <w:t>і</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рішен</w:t>
            </w:r>
            <w:r>
              <w:rPr>
                <w:rFonts w:eastAsia="Times New Roman" w:cs="Times New Roman" w:ascii="Times New Roman" w:hAnsi="Times New Roman"/>
                <w:sz w:val="24"/>
                <w:szCs w:val="24"/>
              </w:rPr>
              <w:t>ня</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у професійній діяльності та відповідально став</w:t>
            </w:r>
            <w:r>
              <w:rPr>
                <w:rFonts w:eastAsia="Times New Roman" w:cs="Times New Roman" w:ascii="Times New Roman" w:hAnsi="Times New Roman"/>
                <w:sz w:val="24"/>
                <w:szCs w:val="24"/>
              </w:rPr>
              <w:t xml:space="preserve">итись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до</w:t>
            </w:r>
            <w:r>
              <w:rPr>
                <w:rFonts w:eastAsia="Times New Roman" w:cs="Times New Roman" w:ascii="Times New Roman" w:hAnsi="Times New Roman"/>
                <w:sz w:val="24"/>
                <w:szCs w:val="24"/>
              </w:rPr>
              <w:t xml:space="preserve">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обов’язків, мотивув</w:t>
            </w:r>
            <w:r>
              <w:rPr>
                <w:rFonts w:eastAsia="Times New Roman" w:cs="Times New Roman" w:ascii="Times New Roman" w:hAnsi="Times New Roman"/>
                <w:sz w:val="24"/>
                <w:szCs w:val="24"/>
              </w:rPr>
              <w:t>ати</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людей до досягнення спільної мети.</w:t>
            </w:r>
          </w:p>
        </w:tc>
      </w:tr>
      <w:tr>
        <w:trPr>
          <w:trHeight w:val="20" w:hRule="atLeast"/>
          <w:cantSplit w:val="true"/>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5</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до генерування нових ідей, виявлення та розв’язання проблем, ініціативності та підприємливості.</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6</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до абстрактного мислення, аналізу та синтезу.</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7</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системно аналізувати головні тенденції історичного розвитку українського народу, цінувати його культурно-історичні та морально-етичні надбання та сприяти вирішенню актуальних загальнодержавних і суспільних завдань.</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8</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та технологій,  використовувати різні види та форми рухової активності для активного відпочинку та ведення здорового способу життя.</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9</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Здатність вчитися </w:t>
            </w:r>
            <w:r>
              <w:rPr>
                <w:rFonts w:eastAsia="Times New Roman" w:cs="Times New Roman" w:ascii="Times New Roman" w:hAnsi="Times New Roman"/>
                <w:sz w:val="24"/>
                <w:szCs w:val="24"/>
              </w:rPr>
              <w:t>та</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sz w:val="24"/>
                <w:szCs w:val="24"/>
              </w:rPr>
              <w:t xml:space="preserve">здобувати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сучасн</w:t>
            </w:r>
            <w:r>
              <w:rPr>
                <w:rFonts w:eastAsia="Times New Roman" w:cs="Times New Roman" w:ascii="Times New Roman" w:hAnsi="Times New Roman"/>
                <w:sz w:val="24"/>
                <w:szCs w:val="24"/>
              </w:rPr>
              <w:t>і</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знання;</w:t>
            </w:r>
            <w:r>
              <w:rPr>
                <w:rFonts w:eastAsia="Times New Roman" w:cs="Times New Roman" w:ascii="Times New Roman" w:hAnsi="Times New Roman"/>
                <w:sz w:val="24"/>
                <w:szCs w:val="24"/>
              </w:rPr>
              <w:t xml:space="preserve">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використовувати інформаційні та комунікаційні технології; застосовувати знання предметної області в практичних ситуаціях професійної діяльності.</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10</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вільно спілкуватися державною мовою в її усній та писемній формах.</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11</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спілкуватися іноземною</w:t>
            </w:r>
            <w:r>
              <w:rPr>
                <w:rFonts w:eastAsia="Times New Roman" w:cs="Times New Roman" w:ascii="Times New Roman" w:hAnsi="Times New Roman"/>
                <w:sz w:val="24"/>
                <w:szCs w:val="24"/>
              </w:rPr>
              <w:t xml:space="preserve">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мовою у професійній діяльності, опрацьовувати фахову літературу іноземною мовою.</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ЗК 12</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4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до пошуку, опрацювання та аналізу інформації з різних джерел, проведення досліджень на належному рівні.</w:t>
            </w:r>
          </w:p>
        </w:tc>
      </w:tr>
      <w:tr>
        <w:trPr>
          <w:trHeight w:val="20" w:hRule="atLeast"/>
        </w:trPr>
        <w:tc>
          <w:tcPr>
            <w:tcW w:w="1722" w:type="dxa"/>
            <w:gridSpan w:val="2"/>
            <w:vMerge w:val="restart"/>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74" w:right="-96" w:firstLine="1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Фахові компетентності</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(ФК)</w:t>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1</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Мовно-комунікативна компетентність:</w:t>
            </w:r>
          </w:p>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забезпечувати здобуття учнями освіти державною мовою;</w:t>
            </w:r>
          </w:p>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забезпечувати (за потреби) здобуття учнями освіти з урахуванням особливостей мовного середовища в закладі освіти (мова відповідного корінного народу або національної меншини України);</w:t>
            </w:r>
          </w:p>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забезпечувати навчання учнів української і іноземної мови, української мови в іншомовній</w:t>
            </w:r>
            <w:r>
              <w:rPr>
                <w:rFonts w:eastAsia="Times New Roman" w:cs="Times New Roman" w:ascii="Times New Roman" w:hAnsi="Times New Roman"/>
                <w:sz w:val="24"/>
                <w:szCs w:val="24"/>
              </w:rPr>
              <w:t xml:space="preserve"> аудиторії</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та спілкуванн</w:t>
            </w:r>
            <w:r>
              <w:rPr>
                <w:rFonts w:eastAsia="Times New Roman" w:cs="Times New Roman" w:ascii="Times New Roman" w:hAnsi="Times New Roman"/>
                <w:sz w:val="24"/>
                <w:szCs w:val="24"/>
              </w:rPr>
              <w:t>я</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рідною і іноземною мовою у професійному колі;</w:t>
            </w:r>
          </w:p>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вільно, гнучко та ефективно використовувати державну та іноземну мови в усній та писемних формах з метою виконання навчальних і професі</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йних завдань у різних ситуаціях спілкування;</w:t>
            </w:r>
          </w:p>
          <w:p>
            <w:pPr>
              <w:pStyle w:val="LOnormal"/>
              <w:keepNext w:val="false"/>
              <w:keepLines w:val="false"/>
              <w:widowControl w:val="false"/>
              <w:shd w:val="clear" w:fill="FFFFFF"/>
              <w:tabs>
                <w:tab w:val="clear" w:pos="720"/>
                <w:tab w:val="left" w:pos="382" w:leader="none"/>
                <w:tab w:val="left" w:pos="920" w:leader="none"/>
              </w:tabs>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здатність формувати та вдосконалювати власну та в учнів українськомовну та іншомовну комунікативну й міжкультурну компетентності</w:t>
            </w:r>
            <w:r>
              <w:rPr>
                <w:rFonts w:eastAsia="Times New Roman" w:cs="Times New Roman" w:ascii="Times New Roman" w:hAnsi="Times New Roman"/>
                <w:sz w:val="24"/>
                <w:szCs w:val="24"/>
              </w:rPr>
              <w:t xml:space="preserve">, а під час навчання іноземців розвивати усі види мовленнєвої діяльності (говоріння, письмо, читання, аудіювання)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із застосуванням синхронного та діахронного принципів у світлі концепції нової українсько</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ї школи та сучасних європейських освітніх тенденцій.</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firstLine="39"/>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2</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Предметно-методична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моделювати зміст навчання відповідно до результатів навчання учнів;</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формувати та розвивати в учнів ключові компетентності та вміння, спільні для всіх компетентностей;</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здійснювати інтегроване навчання учнів;</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добирати і використовувати сучасні т</w:t>
            </w:r>
            <w:r>
              <w:rPr>
                <w:rFonts w:eastAsia="Times New Roman" w:cs="Times New Roman" w:ascii="Times New Roman" w:hAnsi="Times New Roman"/>
                <w:sz w:val="24"/>
                <w:szCs w:val="24"/>
              </w:rPr>
              <w:t>а</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ефективні методики, стратегії та технології навчання, виховання і розвитку учнів;</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розвивати в учнів критичне та креативне мислення;</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здійснювати оцінювання та моніторинг результатів навчання учнів на засадах компетентнісного підходу;</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формувати ціннісні ставлення в учнів;</w:t>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здатність аналізувати діалектні та соціальні різновиди української та іноземної мов, усвідомлено добирати, інтерпретувати та систематизувати мовні, літературні й фольклорні факти в синхронії і діахронії;</w:t>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здатність здійснювати лінгвістичний, літературознавчий та комплексний філологічний аналіз українськомовних і іншомовних текстів різних стилів і жанрів та вільно володіти фаховою термінологією в галузі навчання української і англійської мови та літератури, української мови як іноземної;</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здатність застосовувати в професійній діяльн</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ості системні знання про основні періоди розвитку української та зарубіжної літератур від давнини до ХХІ століття, її чільних представників, простежувати еволюцію напрямів, жанрів і стилів у історико-культурному контексті, розуміти специфіку художніх явищ та аналізувати й створювати необхідний навчальний матеріал, який потребує лінгвістичної і літературознавчої компетентності;</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упроваджувати коригування та літературне редагування текстів українською та іноземною мовою, укладати різноманітні тексти українською та іноземною мовою, організовувати ділову комунікацію;</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гнучко й креативно застосовувати набуті знання фахових методик і досвід п</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едагогічної практики для моделювання професійної діяльності філолога-освітянина як такого загалом і вчителя-філолога в умовах нової української школи </w:t>
            </w:r>
            <w:r>
              <w:rPr>
                <w:rFonts w:eastAsia="Times New Roman" w:cs="Times New Roman" w:ascii="Times New Roman" w:hAnsi="Times New Roman"/>
                <w:sz w:val="24"/>
                <w:szCs w:val="24"/>
              </w:rPr>
              <w:t xml:space="preserve">та в іншомовній аудиторії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зокрема.</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firstLine="39"/>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3</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Інформаційно-цифрова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орієнтуватися в інформаційному просторі, здійснювати пошук, обробку й критичну оцінку інформації, необхідної для якісного виконання професійних завдань;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ефективно використовувати наявні та створювати нові електронні (цифрові) освітні ресурси;</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використовувати цифрові технології в освітньому процесі;</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до співробітництва з використанням інформаційно-комунікаційних технологій для досягнення професійно значущих цілей;</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до розуміння етики роботи з інформацією щодо академічної доброчесності, інтелектуальної власності, авторського права тощо.</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firstLine="39"/>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4</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Психологічна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визначати і враховувати в освітньому процесі вікові та інші індивідуальні особливості учнів;</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використовувати стратегії роботи з учнями, які сприяють розвитку їхньої позитивної самооцінки, я-ідентичності;</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формувати мотивацію учнів та організовувати їхню пізнавальну діяльність;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формувати спільноту учнів, у якій кожен відчуває себе її частиною;</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виявляти набуту психологічну компетентність у роботі з учнями для правильного потрактування їхньої поведінки й педагогічних ситуацій.</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firstLine="39"/>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5</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Емоційно-етична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усвідомлювати особисті відчуття, почуття та емоції, потреби, керувати власними емоційними станами;</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конструктивно та безпечно взаємодіяти з учасниками освітнього процесу;</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усвідомлювати та поціновувати взаємозалежність людей і систем у глобальному світі;</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формувати та розвивати емоційний інтелект.</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firstLine="39"/>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6</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Компетентність педагогічного партнерства:</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до суб’єкт-суб’єктної (рівноправної та особистісно орієнтованої) взаємодії з учнями в освітньому процесі;</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залучати батьків до освітнього процесу на засадах партнерства;</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працювати в команді із залученими фахівцями,</w:t>
            </w:r>
            <w:r>
              <w:rPr>
                <w:rFonts w:eastAsia="Times New Roman" w:cs="Times New Roman" w:ascii="Times New Roman" w:hAnsi="Times New Roman"/>
                <w:sz w:val="24"/>
                <w:szCs w:val="24"/>
              </w:rPr>
              <w:t xml:space="preserve">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асистентами вчителя для надання додаткової підтримки особам з особливими освітніми потребами.</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firstLine="39"/>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7</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Інклюзивна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створювати сприятливі умови, що забезпечують функціонування інклюзивного освітнього середовища;</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до педагогічної підтримки осіб з особливими освітніми потребами;</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забезпечувати в освітньому середовищі сприятливі умови для кожного учня, залежно від його індивідуальних потреб, можливостей, здібностей та інтересів.</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firstLine="39"/>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8</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Здоров’язбережувальна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організовувати безпечне освітнє середовище, використовувати здоров’язбережувальні технології під час освітнього процесу;</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здійснювати профілактично-просвітницьку роботу з учнями та іншими учасниками освітнього процесу щодо безпеки життєдіяльності, санітарії та гігієни;</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формувати в учнів культуру здорового та безпечного життя;</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зберігати особисте фізичне та психічне здоров’я під час професійної діяльності;</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надавати домедичну допомогу учасникам освітнього процесу.</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firstLine="39"/>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9</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Проєктувальна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проєктувати осередки навчання, виховання і розвитку учнів;</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проєктувати навчально-виховний процес, а також власний науковий пошук і елементи наукової роботи учнів.</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7"/>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10</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Прогностична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прогнозувати результати освітнього процесу;</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планувати та гнучко коригувати освітній процес.</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7"/>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11</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Організаційна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організовувати процес навчання, виховання і розвитку учнів;</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організовувати різні види і форми навчальної та пізнавальної діяльності учнів.</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7"/>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12</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Оцінювально-аналітична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здійснювати оцінювання результатів навчання учнів;</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аналізувати результати навчання учнів;</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забезпечувати самооцінювання та взаємооцінювання результатів навчання учнів.</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7"/>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13</w:t>
            </w:r>
          </w:p>
        </w:tc>
        <w:tc>
          <w:tcPr>
            <w:tcW w:w="7068" w:type="dxa"/>
            <w:gridSpan w:val="2"/>
            <w:tcBorders>
              <w:top w:val="single" w:sz="4" w:space="0" w:color="000000"/>
              <w:left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Інноваційна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Здатність застосовувати наукові методи пізнання в освітньому процесі;</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здатність використовувати інновації у професійній діяльності;</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здатність застосовувати різноманітні підходи до розв’язання проблем у педагогічній діяльності;</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здатність розробляти модель системи розвитку автономності учнів в умовах нової української школи</w:t>
            </w:r>
            <w:r>
              <w:rPr>
                <w:rFonts w:eastAsia="Times New Roman" w:cs="Times New Roman" w:ascii="Times New Roman" w:hAnsi="Times New Roman"/>
                <w:sz w:val="24"/>
                <w:szCs w:val="24"/>
              </w:rPr>
              <w:t xml:space="preserve"> та іншомовної аудиторії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 урахуванням сучасних європейських освітніх тенденцій.</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7"/>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14</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Компетентність навчання впродовж життя:</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Здатність визначати умови та ресурси власного професійного розвитку впродовж життя;</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здатність взаємодіяти з іншими вчителями на засадах партнерства та підтримки;</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здатність до інтелектуальної мобільності як інтегративної якості особистості, що характеризує наявність стійкого інтересу до інтелектуальної діяльності у фахівця, вільне володіння пізнавальними процесами і стратегіями виконання в інтелектуальній діяльності, здатність до саморегуляції інтелектуальної діяльності, прояв адаптивно важливих особистісних якостей, як-от: комунікабельності, толерантності, наполегливості у досягненні мети.</w:t>
            </w:r>
          </w:p>
        </w:tc>
      </w:tr>
      <w:tr>
        <w:trPr>
          <w:trHeight w:val="20" w:hRule="atLeast"/>
        </w:trPr>
        <w:tc>
          <w:tcPr>
            <w:tcW w:w="1722" w:type="dxa"/>
            <w:gridSpan w:val="2"/>
            <w:vMerge w:val="continue"/>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57" w:right="-57" w:hanging="7"/>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ФК 15</w:t>
            </w:r>
          </w:p>
        </w:tc>
        <w:tc>
          <w:tcPr>
            <w:tcW w:w="706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Рефлексивна компетентність:</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здійснювати моніторинг власної навчальної/педагогічної діяльності та визначати індивідуальні навчальні/професійні потреби;</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w:t>
            </w:r>
            <w:r>
              <w:rPr>
                <w:rFonts w:eastAsia="Times New Roman" w:cs="Times New Roman" w:ascii="Times New Roman" w:hAnsi="Times New Roman"/>
                <w:sz w:val="24"/>
                <w:szCs w:val="24"/>
              </w:rPr>
              <w:t xml:space="preserve">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переосмислювати особистісний</w:t>
            </w:r>
            <w:r>
              <w:rPr>
                <w:rFonts w:eastAsia="Times New Roman" w:cs="Times New Roman" w:ascii="Times New Roman" w:hAnsi="Times New Roman"/>
                <w:sz w:val="24"/>
                <w:szCs w:val="24"/>
              </w:rPr>
              <w:t xml:space="preserve"> і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професійний досвід, що сприяє формуванню нових професійних еталонів і стандартів, які стимулюють розвиток;</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здатність визнавати значущість рефлексивної діяльності, здійснювати її цілісний науково-методологічний аналіз та моделювання.</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7 – Програмні результати навчання</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Знання та розуміння:</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1</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highlight w:val="white"/>
                <w:u w:val="none"/>
                <w:vertAlign w:val="baseline"/>
              </w:rPr>
              <w:t>Знати чинні нормативно-правові документи, законодавство, галузеві стандарти професійної діяльності в установах та організаціях галузі освіти.</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ПРН 2</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Знати мову як системно-структурне утворення, художню літературу як мистецтво слова та надбання національної та світової літературної спадщини, норми української та іноземної літературної мови, принципи, стратегії, прийоми й функціональні особливості створення, коригування й редагування усних і письмових текстів різних жанрів і стилів, культуру мовлення й особливості застосування норм літературної мови</w:t>
            </w:r>
            <w:r>
              <w:rPr>
                <w:rFonts w:eastAsia="Times New Roman" w:cs="Times New Roman" w:ascii="Times New Roman" w:hAnsi="Times New Roman"/>
                <w:sz w:val="24"/>
                <w:szCs w:val="24"/>
              </w:rPr>
              <w:t xml:space="preserve">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для розв’язання різноманітних освітньо-комунікативних завдань практичної діяльності вчителя української мови і літератури, англійської мови і </w:t>
            </w:r>
            <w:r>
              <w:rPr>
                <w:rFonts w:eastAsia="Times New Roman" w:cs="Times New Roman" w:ascii="Times New Roman" w:hAnsi="Times New Roman"/>
                <w:sz w:val="24"/>
                <w:szCs w:val="24"/>
              </w:rPr>
              <w:t>зарубіжної</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 літератури</w:t>
            </w:r>
            <w:r>
              <w:rPr>
                <w:rFonts w:eastAsia="Times New Roman" w:cs="Times New Roman" w:ascii="Times New Roman" w:hAnsi="Times New Roman"/>
                <w:sz w:val="24"/>
                <w:szCs w:val="24"/>
              </w:rPr>
              <w:t xml:space="preserve">, української мови як іноземної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та для донесення професійних знань, обґрунтувань і висновків до фахівців і широкої спільноти українською </w:t>
            </w:r>
            <w:r>
              <w:rPr>
                <w:rFonts w:eastAsia="Times New Roman" w:cs="Times New Roman" w:ascii="Times New Roman" w:hAnsi="Times New Roman"/>
                <w:sz w:val="24"/>
                <w:szCs w:val="24"/>
              </w:rPr>
              <w:t>та</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 іноземною мовами.</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ПРН 3</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Знати основи фундаментальних і прикладних наук, педагогіки й психології у синхронно-діахронному вимірі на рівні, що забезпечує досягнення результатів навчання, які передбачені навчальною програмою, та подальшу успішну професійну діяльність вчителя-філолога в умовах сучасних українськомовних </w:t>
            </w:r>
            <w:r>
              <w:rPr>
                <w:rFonts w:eastAsia="Times New Roman" w:cs="Times New Roman" w:ascii="Times New Roman" w:hAnsi="Times New Roman"/>
                <w:sz w:val="24"/>
                <w:szCs w:val="24"/>
              </w:rPr>
              <w:t xml:space="preserve">та іншомовних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закладів середньої освіти</w:t>
            </w:r>
            <w:r>
              <w:rPr>
                <w:rFonts w:eastAsia="Times New Roman" w:cs="Times New Roman" w:ascii="Times New Roman" w:hAnsi="Times New Roman"/>
                <w:sz w:val="24"/>
                <w:szCs w:val="24"/>
              </w:rPr>
              <w:t xml:space="preserve"> і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організацій неформальної освіти.</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Застосування знань та розумінь (уміння):</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4</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Вміти моделювати зміст навчання відповідно до результатів навчання учнів; гнучко реагувати на освітні виклики; аналізувати, оцінювати ризики та оперативно розв’язувати проблеми у професійній діяльності; аналізувати й готувати необхідний навчальний матеріал, формувати та розвивати в учнів ключові компетентності; вміти здійснювати інтегроване навчання учнів; впроваджувати навчальні та розвивальні проєкти.</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5</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Бути здатним самостійно знаходити, обробляти та застосовувати інформаційно-комунікаційні технології й цифрові ресурси для розв’язання професійних завдань.</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6</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Застосовувати знання планування, організації та здійснення освітнього процесу з урахуванням психологічних і фізіологічних особливостей учнів, забезпечувати коригування освітнього процесу задля реалізації індивідуальних освітніх траєкторій здобувачів; створення умов функціонування інклюзивного освітнього середовища.</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7</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Усвідомлювати й аналізувати особисті відчуття, почуття та емоції, потреби, керувати власними емоційними станами; вміти ефективно емпатійно взаємодіяти з учасниками освітнього процесу; формувати та розвивати емоційний інтелект.</w:t>
            </w:r>
          </w:p>
        </w:tc>
      </w:tr>
      <w:tr>
        <w:trPr>
          <w:trHeight w:val="20" w:hRule="atLeast"/>
          <w:cantSplit w:val="true"/>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8</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Взаємодіяти конструктивно на засадах партнерства з учасниками освітнього процесу, батьками, іншими фахівцями; дотримуватися принципу рівних можливостей і гендерного паритету у професійній діяльності.</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9</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Дбати про емоційне, психічне, фізичне й соціальне здоров’я, пропагувати та вести здоровий спосіб життя; дотримуватися стандартів професійної етики; уміти застосовувати прийоми попередження і протидії булінгу.</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10</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Демонструвати вміння й навички проєктування й організації ефективного освітнього процесу, власної наукової діяльності та пошукової роботи учнів.</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11</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Здійснювати об’єктивне оцінювання результатів навчання учнів та їх аналіз, забезпечувати самооцінювання та взаємооцінювання результатів навчання.</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12</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Демонструвати навички</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лінгвістичного та літературознавчого аналізу й інтерпретації творів української та зарубіжної художньої літератури й усної народної творчості з вільним володінням фаховою термінологією задля визначення їхньої специфіки й місця в національному та світовому літературному процесі</w:t>
            </w:r>
            <w:r>
              <w:rPr>
                <w:rFonts w:eastAsia="Times New Roman" w:cs="Times New Roman" w:ascii="Times New Roman" w:hAnsi="Times New Roman"/>
                <w:sz w:val="24"/>
                <w:szCs w:val="24"/>
              </w:rPr>
              <w:t xml:space="preserve"> з метою творчого застосування у професійній діяльності.</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Формування суджень:</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13</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tabs>
                <w:tab w:val="clear" w:pos="720"/>
                <w:tab w:val="left" w:pos="245" w:leader="none"/>
              </w:tabs>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Застосовувати наукові методи пізнання в освітньому процесі; аналізувати й використовувати педагогічні інновації та різноманітні підходи до </w:t>
            </w:r>
            <w:r>
              <w:rPr>
                <w:rFonts w:eastAsia="Times New Roman" w:cs="Times New Roman" w:ascii="Times New Roman" w:hAnsi="Times New Roman"/>
                <w:sz w:val="24"/>
                <w:szCs w:val="24"/>
              </w:rPr>
              <w:t>розв’язання проблем</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 у професійній діяльності з метою підвищення ефективності та результативності освітнього процесу й розробки моделі системи розвитку автономності</w:t>
            </w:r>
            <w:r>
              <w:rPr>
                <w:rFonts w:eastAsia="Times New Roman" w:cs="Times New Roman" w:ascii="Times New Roman" w:hAnsi="Times New Roman"/>
                <w:sz w:val="24"/>
                <w:szCs w:val="24"/>
              </w:rPr>
              <w:t xml:space="preserve">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учнів в умовах нової української школи</w:t>
            </w:r>
            <w:r>
              <w:rPr>
                <w:rFonts w:eastAsia="Times New Roman" w:cs="Times New Roman" w:ascii="Times New Roman" w:hAnsi="Times New Roman"/>
                <w:sz w:val="24"/>
                <w:szCs w:val="24"/>
              </w:rPr>
              <w:t xml:space="preserve"> та іншомовної аудиторії</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 xml:space="preserve"> з урахуванням сучасних європейських освітніх тенденцій.</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14</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tabs>
                <w:tab w:val="clear" w:pos="720"/>
                <w:tab w:val="left" w:pos="245" w:leader="none"/>
              </w:tabs>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Здійснювати моніторинг власної навчальної/педагогічної діяльності та визначати індивідуальні навчальні/професійні потреби, бути спроможним переосмислювати особистісний та професійний досвід з метою самовдосконалення; визначати умови та ресурси власного професійного розвитку впродовж життя; формувати та розвивати інтелектуальну мобільність як інтегративну якість особистості, що характеризує стійкий інтерес до інтелектуальної діяльності та здатність до сучасних суспільних трансформацій.</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ПРН 15</w:t>
            </w:r>
          </w:p>
        </w:tc>
        <w:tc>
          <w:tcPr>
            <w:tcW w:w="8838" w:type="dxa"/>
            <w:gridSpan w:val="5"/>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245"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Застосовувати зібрані, проаналізовані, систематизовані й інтерпретовані факти мови й мовлення задля трактування зв’язку між ними і теоретичними висновками, що з них випливають, у професійній діяльності філолога-освітянина загалом і вчителя-мовознавця в умовах нової української школи та іншомовної аудиторії зокрема.</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40" w:before="0" w:after="0"/>
              <w:ind w:left="0" w:right="0" w:firstLine="34"/>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8 – Ресурсне забезпечення реалізації програми</w:t>
            </w:r>
          </w:p>
        </w:tc>
      </w:tr>
      <w:tr>
        <w:trPr>
          <w:trHeight w:val="20" w:hRule="atLeast"/>
        </w:trPr>
        <w:tc>
          <w:tcPr>
            <w:tcW w:w="2652"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Кадрове забезпечення</w:t>
            </w:r>
          </w:p>
        </w:tc>
        <w:tc>
          <w:tcPr>
            <w:tcW w:w="7188"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tabs>
                <w:tab w:val="clear" w:pos="720"/>
                <w:tab w:val="left" w:pos="0" w:leader="none"/>
                <w:tab w:val="left" w:pos="36" w:leader="none"/>
              </w:tabs>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Всі науково-педагогічні працівники, що забезпечують освітню програму за кваліфікацією, відповідають профілю і напряму освітніх компонентів,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 / управлінської / інноваційної / творчої роботи та/або роботи за фахом.</w:t>
            </w:r>
          </w:p>
        </w:tc>
      </w:tr>
      <w:tr>
        <w:trPr>
          <w:trHeight w:val="20" w:hRule="atLeast"/>
        </w:trPr>
        <w:tc>
          <w:tcPr>
            <w:tcW w:w="2652"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Матеріально-технічне забезпечення</w:t>
            </w:r>
          </w:p>
        </w:tc>
        <w:tc>
          <w:tcPr>
            <w:tcW w:w="7188"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11"/>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Матеріально-технічне забезпечення дозволяє повністю забезпечити освітній процес протягом всього циклу підготовки за освітньою програмою.</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t>Стан приміщень засвідчено санітарно-технічними паспортами, що відповідають чинним нормативним актам.</w:t>
            </w:r>
          </w:p>
        </w:tc>
      </w:tr>
      <w:tr>
        <w:trPr>
          <w:trHeight w:val="20" w:hRule="atLeast"/>
        </w:trPr>
        <w:tc>
          <w:tcPr>
            <w:tcW w:w="2652"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Інформаційне та навчально-методичне забезпечення</w:t>
            </w:r>
          </w:p>
        </w:tc>
        <w:tc>
          <w:tcPr>
            <w:tcW w:w="7188"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11"/>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trPr>
          <w:trHeight w:val="20" w:hRule="atLeast"/>
        </w:trPr>
        <w:tc>
          <w:tcPr>
            <w:tcW w:w="9840" w:type="dxa"/>
            <w:gridSpan w:val="6"/>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40" w:before="0" w:after="0"/>
              <w:ind w:left="0" w:right="0" w:firstLine="34"/>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9 – Академічна мобільність</w:t>
            </w:r>
          </w:p>
        </w:tc>
      </w:tr>
      <w:tr>
        <w:trPr>
          <w:trHeight w:val="20" w:hRule="atLeast"/>
        </w:trPr>
        <w:tc>
          <w:tcPr>
            <w:tcW w:w="2652"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Національна кредитна мобільність</w:t>
            </w:r>
          </w:p>
        </w:tc>
        <w:tc>
          <w:tcPr>
            <w:tcW w:w="7188"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Передбачає можливість національної кредитної мобільності за деякими освітніми компонентами, що забезпечують набуття загальних та фахових компетентностей.</w:t>
            </w:r>
          </w:p>
        </w:tc>
      </w:tr>
      <w:tr>
        <w:trPr>
          <w:trHeight w:val="20" w:hRule="atLeast"/>
        </w:trPr>
        <w:tc>
          <w:tcPr>
            <w:tcW w:w="2652"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Міжнародна кредитна мобільність</w:t>
            </w:r>
          </w:p>
        </w:tc>
        <w:tc>
          <w:tcPr>
            <w:tcW w:w="7188"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Програма розвиває перспективи участі та стажування у науково-дослідних проєктах та програмах академічної мобільності в Україні та за кордоном. Виконується в активному дослідницькому середовищі.</w:t>
            </w:r>
          </w:p>
        </w:tc>
      </w:tr>
      <w:tr>
        <w:trPr>
          <w:trHeight w:val="20" w:hRule="atLeast"/>
        </w:trPr>
        <w:tc>
          <w:tcPr>
            <w:tcW w:w="2652"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Навчання іноземних здобувачів вищої освіти</w:t>
            </w:r>
          </w:p>
        </w:tc>
        <w:tc>
          <w:tcPr>
            <w:tcW w:w="7188"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Навчання іноземних здобувачів вищої освіти здійснюється за акредитованими освітніми програмами відповідно до чинного законодавства України </w:t>
            </w:r>
            <w:r>
              <w:rPr>
                <w:rFonts w:eastAsia="Times New Roman" w:cs="Times New Roman" w:ascii="Times New Roman" w:hAnsi="Times New Roman"/>
                <w:sz w:val="24"/>
                <w:szCs w:val="24"/>
              </w:rPr>
              <w:t>у</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сфері вищої освіти.</w:t>
            </w:r>
          </w:p>
        </w:tc>
      </w:tr>
    </w:tbl>
    <w:p>
      <w:pPr>
        <w:pStyle w:val="LOnormal"/>
        <w:keepNext w:val="false"/>
        <w:keepLines w:val="false"/>
        <w:pageBreakBefore w:val="false"/>
        <w:widowControl/>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r>
        <w:br w:type="page"/>
      </w:r>
    </w:p>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2. Перелік компонентів освітньо-професійної програми та їх логічна послідовність</w:t>
      </w:r>
    </w:p>
    <w:p>
      <w:pPr>
        <w:pStyle w:val="LOnormal"/>
        <w:keepNext w:val="false"/>
        <w:keepLines w:val="false"/>
        <w:pageBreakBefore w:val="false"/>
        <w:widowControl/>
        <w:shd w:val="clear" w:fill="auto"/>
        <w:spacing w:lineRule="auto" w:line="240" w:before="0" w:after="0"/>
        <w:ind w:left="0" w:right="0" w:firstLine="567"/>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2.1 Перелік компонентів освітньо-професійної програми першого (бакалаврського) рівня вищої освіти</w:t>
      </w:r>
    </w:p>
    <w:tbl>
      <w:tblPr>
        <w:tblStyle w:val="Table2"/>
        <w:tblW w:w="9666" w:type="dxa"/>
        <w:jc w:val="left"/>
        <w:tblInd w:w="-111" w:type="dxa"/>
        <w:tblLayout w:type="fixed"/>
        <w:tblCellMar>
          <w:top w:w="0" w:type="dxa"/>
          <w:left w:w="108" w:type="dxa"/>
          <w:bottom w:w="0" w:type="dxa"/>
          <w:right w:w="108" w:type="dxa"/>
        </w:tblCellMar>
        <w:tblLook w:val="0000"/>
      </w:tblPr>
      <w:tblGrid>
        <w:gridCol w:w="961"/>
        <w:gridCol w:w="5955"/>
        <w:gridCol w:w="1071"/>
        <w:gridCol w:w="1678"/>
      </w:tblGrid>
      <w:tr>
        <w:trPr/>
        <w:tc>
          <w:tcPr>
            <w:tcW w:w="961"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Код</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Компоненти освітньої програми (навчальні дисципліни, курсові роботи (проєкти), практики, кваліфікаційна робота)</w:t>
            </w:r>
          </w:p>
        </w:tc>
        <w:tc>
          <w:tcPr>
            <w:tcW w:w="1071"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Кількість кредитів</w:t>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Форма підсумкового контролю</w:t>
            </w:r>
          </w:p>
        </w:tc>
      </w:tr>
      <w:tr>
        <w:trPr>
          <w:trHeight w:val="240" w:hRule="atLeast"/>
        </w:trPr>
        <w:tc>
          <w:tcPr>
            <w:tcW w:w="96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auto" w:val="clear"/>
                <w:vertAlign w:val="baseline"/>
              </w:rPr>
              <w:t>1</w:t>
            </w:r>
          </w:p>
        </w:tc>
        <w:tc>
          <w:tcPr>
            <w:tcW w:w="59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auto" w:val="clear"/>
                <w:vertAlign w:val="baseline"/>
              </w:rPr>
              <w:t>2</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auto" w:val="clear"/>
                <w:vertAlign w:val="baseline"/>
              </w:rPr>
              <w:t>3</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auto" w:val="clear"/>
                <w:vertAlign w:val="baseline"/>
              </w:rPr>
              <w:t>4</w:t>
            </w:r>
          </w:p>
        </w:tc>
      </w:tr>
      <w:tr>
        <w:trPr/>
        <w:tc>
          <w:tcPr>
            <w:tcW w:w="9665"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Обов’язкові компоненти освітньої програми</w:t>
            </w:r>
          </w:p>
        </w:tc>
      </w:tr>
      <w:tr>
        <w:trPr/>
        <w:tc>
          <w:tcPr>
            <w:tcW w:w="9665"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Цикл загальної підготовки</w:t>
            </w:r>
          </w:p>
        </w:tc>
      </w:tr>
      <w:tr>
        <w:trPr/>
        <w:tc>
          <w:tcPr>
            <w:tcW w:w="96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1</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Українська державність: історія і сучасність</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3</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залік</w:t>
            </w:r>
          </w:p>
        </w:tc>
      </w:tr>
      <w:tr>
        <w:trPr/>
        <w:tc>
          <w:tcPr>
            <w:tcW w:w="96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2</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Українська та зарубіжна культура</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3</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залік</w:t>
            </w:r>
          </w:p>
        </w:tc>
      </w:tr>
      <w:tr>
        <w:trPr/>
        <w:tc>
          <w:tcPr>
            <w:tcW w:w="96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3</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Філософія, політологія та соціологія</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6</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екзамен</w:t>
            </w:r>
          </w:p>
        </w:tc>
      </w:tr>
      <w:tr>
        <w:trPr/>
        <w:tc>
          <w:tcPr>
            <w:tcW w:w="96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4</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Фізичне виховання</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3/9*</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залік</w:t>
            </w:r>
          </w:p>
        </w:tc>
      </w:tr>
      <w:tr>
        <w:trPr>
          <w:trHeight w:val="240" w:hRule="atLeast"/>
        </w:trPr>
        <w:tc>
          <w:tcPr>
            <w:tcW w:w="6916"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Всього з циклу</w:t>
            </w:r>
          </w:p>
        </w:tc>
        <w:tc>
          <w:tcPr>
            <w:tcW w:w="2749"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15</w:t>
            </w:r>
          </w:p>
        </w:tc>
      </w:tr>
      <w:tr>
        <w:trPr>
          <w:trHeight w:val="240" w:hRule="atLeast"/>
        </w:trPr>
        <w:tc>
          <w:tcPr>
            <w:tcW w:w="9665"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Цикл професійної підготовки</w:t>
            </w:r>
          </w:p>
        </w:tc>
      </w:tr>
      <w:tr>
        <w:trPr/>
        <w:tc>
          <w:tcPr>
            <w:tcW w:w="96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5</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Ділова українська мова в перекладацькому аспекті</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6</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екзамен</w:t>
            </w:r>
          </w:p>
        </w:tc>
      </w:tr>
      <w:tr>
        <w:trPr/>
        <w:tc>
          <w:tcPr>
            <w:tcW w:w="96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6</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Загальне мовознавство</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3</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екзамен</w:t>
            </w:r>
          </w:p>
        </w:tc>
      </w:tr>
      <w:tr>
        <w:trPr/>
        <w:tc>
          <w:tcPr>
            <w:tcW w:w="96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7</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Літературознавство</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3</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cyan"/>
                <w:u w:val="none"/>
                <w:vertAlign w:val="baseline"/>
              </w:rPr>
            </w:pPr>
            <w:r>
              <w:rPr>
                <w:rFonts w:eastAsia="Times New Roman" w:cs="Times New Roman" w:ascii="Times New Roman" w:hAnsi="Times New Roman"/>
                <w:sz w:val="24"/>
                <w:szCs w:val="24"/>
              </w:rPr>
              <w:t>залік</w:t>
            </w:r>
          </w:p>
        </w:tc>
      </w:tr>
      <w:tr>
        <w:trPr/>
        <w:tc>
          <w:tcPr>
            <w:tcW w:w="96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ОК </w:t>
            </w:r>
            <w:r>
              <w:rPr>
                <w:rFonts w:eastAsia="Times New Roman" w:cs="Times New Roman" w:ascii="Times New Roman" w:hAnsi="Times New Roman"/>
                <w:sz w:val="24"/>
                <w:szCs w:val="24"/>
              </w:rPr>
              <w:t>8</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Латинська і старослов</w:t>
            </w:r>
            <w:r>
              <w:rPr>
                <w:rFonts w:eastAsia="Times New Roman" w:cs="Times New Roman" w:ascii="Times New Roman" w:hAnsi="Times New Roman"/>
                <w:sz w:val="24"/>
                <w:szCs w:val="24"/>
              </w:rPr>
              <w:t xml:space="preserve">’янська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мов</w:t>
            </w:r>
            <w:r>
              <w:rPr>
                <w:rFonts w:eastAsia="Times New Roman" w:cs="Times New Roman" w:ascii="Times New Roman" w:hAnsi="Times New Roman"/>
                <w:sz w:val="24"/>
                <w:szCs w:val="24"/>
              </w:rPr>
              <w:t>и</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3</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залік</w:t>
            </w:r>
          </w:p>
        </w:tc>
      </w:tr>
      <w:tr>
        <w:trPr/>
        <w:tc>
          <w:tcPr>
            <w:tcW w:w="96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ОК </w:t>
            </w:r>
            <w:r>
              <w:rPr>
                <w:rFonts w:eastAsia="Times New Roman" w:cs="Times New Roman" w:ascii="Times New Roman" w:hAnsi="Times New Roman"/>
                <w:sz w:val="24"/>
                <w:szCs w:val="24"/>
              </w:rPr>
              <w:t>9</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Сучасна українська літературна мова</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24</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екзамен</w:t>
            </w:r>
          </w:p>
        </w:tc>
      </w:tr>
      <w:tr>
        <w:trPr/>
        <w:tc>
          <w:tcPr>
            <w:tcW w:w="96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1</w:t>
            </w:r>
            <w:r>
              <w:rPr>
                <w:rFonts w:eastAsia="Times New Roman" w:cs="Times New Roman" w:ascii="Times New Roman" w:hAnsi="Times New Roman"/>
                <w:sz w:val="24"/>
                <w:szCs w:val="24"/>
              </w:rPr>
              <w:t>0</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Практикум з української мови</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9</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залік</w:t>
            </w:r>
          </w:p>
        </w:tc>
      </w:tr>
      <w:tr>
        <w:trPr/>
        <w:tc>
          <w:tcPr>
            <w:tcW w:w="96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1</w:t>
            </w:r>
            <w:r>
              <w:rPr>
                <w:rFonts w:eastAsia="Times New Roman" w:cs="Times New Roman" w:ascii="Times New Roman" w:hAnsi="Times New Roman"/>
                <w:sz w:val="24"/>
                <w:szCs w:val="24"/>
              </w:rPr>
              <w:t>1</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Істор</w:t>
            </w:r>
            <w:r>
              <w:rPr>
                <w:rFonts w:eastAsia="Times New Roman" w:cs="Times New Roman" w:ascii="Times New Roman" w:hAnsi="Times New Roman"/>
                <w:sz w:val="24"/>
                <w:szCs w:val="24"/>
              </w:rPr>
              <w:t xml:space="preserve">ія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української мови</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3</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екзамен</w:t>
            </w:r>
          </w:p>
        </w:tc>
      </w:tr>
      <w:tr>
        <w:trPr/>
        <w:tc>
          <w:tcPr>
            <w:tcW w:w="96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1</w:t>
            </w:r>
            <w:r>
              <w:rPr>
                <w:rFonts w:eastAsia="Times New Roman" w:cs="Times New Roman" w:ascii="Times New Roman" w:hAnsi="Times New Roman"/>
                <w:sz w:val="24"/>
                <w:szCs w:val="24"/>
              </w:rPr>
              <w:t>2</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Фольклор та українська література</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w:t>
            </w:r>
            <w:r>
              <w:rPr>
                <w:rFonts w:eastAsia="Times New Roman" w:cs="Times New Roman" w:ascii="Times New Roman" w:hAnsi="Times New Roman"/>
                <w:sz w:val="24"/>
                <w:szCs w:val="24"/>
              </w:rPr>
              <w:t>2</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екзамен</w:t>
            </w:r>
          </w:p>
        </w:tc>
      </w:tr>
      <w:tr>
        <w:trPr/>
        <w:tc>
          <w:tcPr>
            <w:tcW w:w="96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1</w:t>
            </w:r>
            <w:r>
              <w:rPr>
                <w:rFonts w:eastAsia="Times New Roman" w:cs="Times New Roman" w:ascii="Times New Roman" w:hAnsi="Times New Roman"/>
                <w:sz w:val="24"/>
                <w:szCs w:val="24"/>
              </w:rPr>
              <w:t>3</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Методика викладання української мови </w:t>
            </w:r>
            <w:r>
              <w:rPr>
                <w:rFonts w:eastAsia="Times New Roman" w:cs="Times New Roman" w:ascii="Times New Roman" w:hAnsi="Times New Roman"/>
                <w:sz w:val="24"/>
                <w:szCs w:val="24"/>
              </w:rPr>
              <w:t>і</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sz w:val="24"/>
                <w:szCs w:val="24"/>
              </w:rPr>
              <w:t>літератури та української мови як іноземної</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sz w:val="24"/>
                <w:szCs w:val="24"/>
              </w:rPr>
              <w:t>6</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екзамен</w:t>
            </w:r>
          </w:p>
        </w:tc>
      </w:tr>
      <w:tr>
        <w:trPr/>
        <w:tc>
          <w:tcPr>
            <w:tcW w:w="961" w:type="dxa"/>
            <w:tcBorders>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ОК 14</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Практика англійської мови</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sz w:val="24"/>
                <w:szCs w:val="24"/>
              </w:rPr>
              <w:t>30</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екзамен</w:t>
            </w:r>
          </w:p>
        </w:tc>
      </w:tr>
      <w:tr>
        <w:trPr/>
        <w:tc>
          <w:tcPr>
            <w:tcW w:w="961" w:type="dxa"/>
            <w:tcBorders>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ОК 15</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sz w:val="24"/>
                <w:szCs w:val="24"/>
              </w:rPr>
              <w:t>Фонетика та граматика англійської мови</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sz w:val="24"/>
                <w:szCs w:val="24"/>
              </w:rPr>
              <w:t>залік</w:t>
            </w:r>
          </w:p>
        </w:tc>
      </w:tr>
      <w:tr>
        <w:trPr/>
        <w:tc>
          <w:tcPr>
            <w:tcW w:w="961" w:type="dxa"/>
            <w:tcBorders>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ОК 16</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Лексикологія та стилістика англійської мови</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екзамен</w:t>
            </w:r>
          </w:p>
        </w:tc>
      </w:tr>
      <w:tr>
        <w:trPr/>
        <w:tc>
          <w:tcPr>
            <w:tcW w:w="961" w:type="dxa"/>
            <w:tcBorders>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ОК 17</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Історія англійської мови</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3</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sz w:val="24"/>
                <w:szCs w:val="24"/>
              </w:rPr>
              <w:t>екзамен</w:t>
            </w:r>
          </w:p>
        </w:tc>
      </w:tr>
      <w:tr>
        <w:trPr/>
        <w:tc>
          <w:tcPr>
            <w:tcW w:w="961" w:type="dxa"/>
            <w:tcBorders>
              <w:left w:val="single" w:sz="4" w:space="0" w:color="000000"/>
              <w:bottom w:val="single" w:sz="4" w:space="0" w:color="000000"/>
              <w:right w:val="single" w:sz="4" w:space="0" w:color="000000"/>
            </w:tcBorders>
          </w:tcPr>
          <w:p>
            <w:pPr>
              <w:pStyle w:val="LOnormal"/>
              <w:widowControl w:val="false"/>
              <w:rPr/>
            </w:pPr>
            <w:r>
              <w:rPr>
                <w:rFonts w:eastAsia="Times New Roman" w:cs="Times New Roman" w:ascii="Times New Roman" w:hAnsi="Times New Roman"/>
                <w:sz w:val="24"/>
                <w:szCs w:val="24"/>
              </w:rPr>
              <w:t>ОК 18</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Зарубіжна література та література англомовних країн</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sz w:val="24"/>
                <w:szCs w:val="24"/>
              </w:rPr>
              <w:t>12</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екзамен</w:t>
            </w:r>
          </w:p>
        </w:tc>
      </w:tr>
      <w:tr>
        <w:trPr/>
        <w:tc>
          <w:tcPr>
            <w:tcW w:w="961" w:type="dxa"/>
            <w:tcBorders>
              <w:left w:val="single" w:sz="4" w:space="0" w:color="000000"/>
              <w:bottom w:val="single" w:sz="4" w:space="0" w:color="000000"/>
              <w:right w:val="single" w:sz="4" w:space="0" w:color="000000"/>
            </w:tcBorders>
          </w:tcPr>
          <w:p>
            <w:pPr>
              <w:pStyle w:val="LOnormal"/>
              <w:widowControl w:val="false"/>
              <w:rPr/>
            </w:pPr>
            <w:r>
              <w:rPr>
                <w:rFonts w:eastAsia="Times New Roman" w:cs="Times New Roman" w:ascii="Times New Roman" w:hAnsi="Times New Roman"/>
                <w:sz w:val="24"/>
                <w:szCs w:val="24"/>
              </w:rPr>
              <w:t>ОК 19</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Методика викладання англійської мови та зарубіжної літератури</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3</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екзамен</w:t>
            </w:r>
          </w:p>
        </w:tc>
      </w:tr>
      <w:tr>
        <w:trPr/>
        <w:tc>
          <w:tcPr>
            <w:tcW w:w="961"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ОК 20</w:t>
            </w:r>
          </w:p>
        </w:tc>
        <w:tc>
          <w:tcPr>
            <w:tcW w:w="5955"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Педагогіка</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інклюзивна освіта та ІКТ в освітньому процесі</w:t>
            </w:r>
          </w:p>
        </w:tc>
        <w:tc>
          <w:tcPr>
            <w:tcW w:w="10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sz w:val="24"/>
                <w:szCs w:val="24"/>
              </w:rPr>
              <w:t>9</w:t>
            </w:r>
          </w:p>
        </w:tc>
        <w:tc>
          <w:tcPr>
            <w:tcW w:w="16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екзамен</w:t>
            </w:r>
          </w:p>
        </w:tc>
      </w:tr>
      <w:tr>
        <w:trPr/>
        <w:tc>
          <w:tcPr>
            <w:tcW w:w="961" w:type="dxa"/>
            <w:tcBorders>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ОК 21</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Загальна, вікова та соціальна психологія</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sz w:val="24"/>
                <w:szCs w:val="24"/>
              </w:rPr>
              <w:t>9</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екзамен</w:t>
            </w:r>
          </w:p>
        </w:tc>
      </w:tr>
      <w:tr>
        <w:trPr>
          <w:trHeight w:val="245" w:hRule="atLeast"/>
        </w:trPr>
        <w:tc>
          <w:tcPr>
            <w:tcW w:w="6916"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Всього з циклу</w:t>
            </w:r>
          </w:p>
        </w:tc>
        <w:tc>
          <w:tcPr>
            <w:tcW w:w="2749"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141</w:t>
            </w:r>
          </w:p>
        </w:tc>
      </w:tr>
      <w:tr>
        <w:trPr/>
        <w:tc>
          <w:tcPr>
            <w:tcW w:w="9665"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Практична підготовка</w:t>
            </w:r>
          </w:p>
        </w:tc>
      </w:tr>
      <w:tr>
        <w:trPr/>
        <w:tc>
          <w:tcPr>
            <w:tcW w:w="96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2</w:t>
            </w:r>
            <w:r>
              <w:rPr>
                <w:rFonts w:eastAsia="Times New Roman" w:cs="Times New Roman" w:ascii="Times New Roman" w:hAnsi="Times New Roman"/>
                <w:sz w:val="24"/>
                <w:szCs w:val="24"/>
              </w:rPr>
              <w:t>2</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Навчальна практика</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6</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залік</w:t>
            </w:r>
          </w:p>
        </w:tc>
      </w:tr>
      <w:tr>
        <w:trPr>
          <w:trHeight w:val="270" w:hRule="atLeast"/>
        </w:trPr>
        <w:tc>
          <w:tcPr>
            <w:tcW w:w="96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ОК 2</w:t>
            </w:r>
            <w:r>
              <w:rPr>
                <w:rFonts w:eastAsia="Times New Roman" w:cs="Times New Roman" w:ascii="Times New Roman" w:hAnsi="Times New Roman"/>
                <w:sz w:val="24"/>
                <w:szCs w:val="24"/>
              </w:rPr>
              <w:t>3</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Педагогічна практика</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18</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залік</w:t>
            </w:r>
          </w:p>
        </w:tc>
      </w:tr>
      <w:tr>
        <w:trPr/>
        <w:tc>
          <w:tcPr>
            <w:tcW w:w="96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Всього з циклу</w:t>
            </w:r>
          </w:p>
        </w:tc>
        <w:tc>
          <w:tcPr>
            <w:tcW w:w="10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24</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305" w:hRule="atLeast"/>
        </w:trPr>
        <w:tc>
          <w:tcPr>
            <w:tcW w:w="6916"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Загальний обсяг обов’язкових компонентів</w:t>
            </w:r>
          </w:p>
        </w:tc>
        <w:tc>
          <w:tcPr>
            <w:tcW w:w="2749"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180</w:t>
            </w:r>
          </w:p>
        </w:tc>
      </w:tr>
      <w:tr>
        <w:trPr/>
        <w:tc>
          <w:tcPr>
            <w:tcW w:w="9665"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Вибіркові компоненти освітньої програми</w:t>
            </w:r>
          </w:p>
        </w:tc>
      </w:tr>
      <w:tr>
        <w:trPr/>
        <w:tc>
          <w:tcPr>
            <w:tcW w:w="96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ДВВС</w:t>
            </w:r>
          </w:p>
        </w:tc>
        <w:tc>
          <w:tcPr>
            <w:tcW w:w="59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Дисципліни вільного вибору здобувача вищої освіти</w:t>
            </w:r>
          </w:p>
        </w:tc>
        <w:tc>
          <w:tcPr>
            <w:tcW w:w="1071"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60</w:t>
            </w:r>
          </w:p>
        </w:tc>
        <w:tc>
          <w:tcPr>
            <w:tcW w:w="16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залік</w:t>
            </w:r>
          </w:p>
        </w:tc>
      </w:tr>
      <w:tr>
        <w:trPr>
          <w:trHeight w:val="240" w:hRule="atLeast"/>
        </w:trPr>
        <w:tc>
          <w:tcPr>
            <w:tcW w:w="96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59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12"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Загальний обсяг вибіркових компонентів</w:t>
            </w:r>
          </w:p>
        </w:tc>
        <w:tc>
          <w:tcPr>
            <w:tcW w:w="2749" w:type="dxa"/>
            <w:gridSpan w:val="2"/>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60</w:t>
            </w:r>
          </w:p>
        </w:tc>
      </w:tr>
      <w:tr>
        <w:trPr/>
        <w:tc>
          <w:tcPr>
            <w:tcW w:w="6916"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ЗАГАЛЬНИЙ ОБСЯГ ОСВІТНЬОЇ ПРОГРАМИ</w:t>
            </w:r>
          </w:p>
        </w:tc>
        <w:tc>
          <w:tcPr>
            <w:tcW w:w="2749"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240</w:t>
            </w:r>
          </w:p>
        </w:tc>
      </w:tr>
    </w:tbl>
    <w:p>
      <w:pPr>
        <w:sectPr>
          <w:type w:val="nextPage"/>
          <w:pgSz w:w="11906" w:h="16838"/>
          <w:pgMar w:left="1418" w:right="851" w:gutter="0" w:header="0" w:top="851" w:footer="0" w:bottom="851"/>
          <w:pgNumType w:start="1" w:fmt="decimal"/>
          <w:formProt w:val="false"/>
          <w:textDirection w:val="lrTb"/>
          <w:docGrid w:type="default" w:linePitch="100" w:charSpace="8192"/>
        </w:sectPr>
        <w:pStyle w:val="LOnormal"/>
        <w:keepNext w:val="false"/>
        <w:keepLines w:val="false"/>
        <w:pageBreakBefore w:val="false"/>
        <w:widowControl/>
        <w:shd w:val="clear" w:fill="auto"/>
        <w:spacing w:lineRule="auto" w:line="276" w:before="0" w:after="20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Навчальна дисципліна позакредитна </w:t>
      </w:r>
      <w:r>
        <w:rPr>
          <w:rFonts w:eastAsia="Times New Roman" w:cs="Times New Roman" w:ascii="Times New Roman" w:hAnsi="Times New Roman"/>
          <w:sz w:val="24"/>
          <w:szCs w:val="24"/>
        </w:rPr>
        <w:t>у</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2, 3, 4 семестрах</w:t>
      </w:r>
    </w:p>
    <w:p>
      <w:pPr>
        <w:sectPr>
          <w:type w:val="nextPage"/>
          <w:pgSz w:orient="landscape" w:w="16838" w:h="11906"/>
          <w:pgMar w:left="851" w:right="851" w:gutter="0" w:header="0" w:top="851" w:footer="0" w:bottom="851"/>
          <w:pgNumType w:fmt="decimal"/>
          <w:formProt w:val="false"/>
          <w:textDirection w:val="lrTb"/>
          <w:docGrid w:type="default" w:linePitch="100" w:charSpace="8192"/>
        </w:sectPr>
        <w:pStyle w:val="LOnormal"/>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9611360" cy="67945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9611360" cy="6794500"/>
                    </a:xfrm>
                    <a:prstGeom prst="rect">
                      <a:avLst/>
                    </a:prstGeom>
                  </pic:spPr>
                </pic:pic>
              </a:graphicData>
            </a:graphic>
          </wp:inline>
        </w:drawing>
      </w:r>
      <w:r>
        <w:br w:type="page"/>
      </w:r>
    </w:p>
    <w:p>
      <w:pPr>
        <w:pStyle w:val="LOnormal"/>
        <w:keepNext w:val="false"/>
        <w:keepLines w:val="false"/>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3. Форма атестації здобувачів вищої освіти</w:t>
      </w:r>
    </w:p>
    <w:tbl>
      <w:tblPr>
        <w:tblStyle w:val="Table3"/>
        <w:tblW w:w="9753" w:type="dxa"/>
        <w:jc w:val="left"/>
        <w:tblInd w:w="-111" w:type="dxa"/>
        <w:tblLayout w:type="fixed"/>
        <w:tblCellMar>
          <w:top w:w="0" w:type="dxa"/>
          <w:left w:w="108" w:type="dxa"/>
          <w:bottom w:w="0" w:type="dxa"/>
          <w:right w:w="108" w:type="dxa"/>
        </w:tblCellMar>
        <w:tblLook w:val="0000"/>
      </w:tblPr>
      <w:tblGrid>
        <w:gridCol w:w="2806"/>
        <w:gridCol w:w="6946"/>
      </w:tblGrid>
      <w:tr>
        <w:trPr>
          <w:trHeight w:val="151" w:hRule="atLeast"/>
        </w:trPr>
        <w:tc>
          <w:tcPr>
            <w:tcW w:w="280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115"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Форми атестації здобувачів вищої освіти</w:t>
            </w:r>
          </w:p>
        </w:tc>
        <w:tc>
          <w:tcPr>
            <w:tcW w:w="694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Атестація випускника освітньої програми проводиться у формі атестаційного екзамену.</w:t>
            </w:r>
          </w:p>
        </w:tc>
      </w:tr>
      <w:tr>
        <w:trPr>
          <w:trHeight w:val="151" w:hRule="atLeast"/>
        </w:trPr>
        <w:tc>
          <w:tcPr>
            <w:tcW w:w="280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Документ про вищу освіту</w:t>
            </w:r>
          </w:p>
        </w:tc>
        <w:tc>
          <w:tcPr>
            <w:tcW w:w="694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Диплом бакалавра із прис</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воєнням освітньої кваліфікації: бакалавр середньої освіти, вчитель української мови і літератури, вчитель українс</w:t>
            </w:r>
            <w:r>
              <w:rPr>
                <w:rFonts w:eastAsia="Times New Roman" w:cs="Times New Roman" w:ascii="Times New Roman" w:hAnsi="Times New Roman"/>
                <w:sz w:val="24"/>
                <w:szCs w:val="24"/>
              </w:rPr>
              <w:t xml:space="preserve">ької мови як іноземної,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вчитель англійської мови і</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зарубіжної</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літератури о</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світньо-професійної</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програми Українська мова і література та англійські філологічні студії.</w:t>
            </w:r>
          </w:p>
        </w:tc>
      </w:tr>
    </w:tbl>
    <w:p>
      <w:pPr>
        <w:pStyle w:val="LOnormal"/>
        <w:keepNext w:val="false"/>
        <w:keepLines w:val="false"/>
        <w:pageBreakBefore w:val="false"/>
        <w:widowControl/>
        <w:shd w:val="clear" w:fill="auto"/>
        <w:spacing w:lineRule="auto" w:line="240" w:before="0" w:after="0"/>
        <w:ind w:left="0" w:right="0" w:firstLine="72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bookmarkStart w:id="1" w:name="_1fob9te"/>
      <w:bookmarkStart w:id="2" w:name="_1fob9te"/>
      <w:bookmarkEnd w:id="2"/>
    </w:p>
    <w:p>
      <w:pPr>
        <w:pStyle w:val="LOnormal"/>
        <w:keepNext w:val="false"/>
        <w:keepLines w:val="false"/>
        <w:pageBreakBefore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4. Матриця відповідності програмних компетентностей</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компонентам освітньої програми</w:t>
      </w:r>
    </w:p>
    <w:tbl>
      <w:tblPr>
        <w:tblStyle w:val="Table4"/>
        <w:tblW w:w="9756" w:type="dxa"/>
        <w:jc w:val="left"/>
        <w:tblInd w:w="-111" w:type="dxa"/>
        <w:tblLayout w:type="fixed"/>
        <w:tblCellMar>
          <w:top w:w="0" w:type="dxa"/>
          <w:left w:w="108" w:type="dxa"/>
          <w:bottom w:w="0" w:type="dxa"/>
          <w:right w:w="108" w:type="dxa"/>
        </w:tblCellMar>
        <w:tblLook w:val="0000"/>
      </w:tblPr>
      <w:tblGrid>
        <w:gridCol w:w="963"/>
        <w:gridCol w:w="327"/>
        <w:gridCol w:w="326"/>
        <w:gridCol w:w="327"/>
        <w:gridCol w:w="324"/>
        <w:gridCol w:w="327"/>
        <w:gridCol w:w="324"/>
        <w:gridCol w:w="324"/>
        <w:gridCol w:w="326"/>
        <w:gridCol w:w="328"/>
        <w:gridCol w:w="326"/>
        <w:gridCol w:w="326"/>
        <w:gridCol w:w="326"/>
        <w:gridCol w:w="325"/>
        <w:gridCol w:w="325"/>
        <w:gridCol w:w="326"/>
        <w:gridCol w:w="327"/>
        <w:gridCol w:w="329"/>
        <w:gridCol w:w="326"/>
        <w:gridCol w:w="325"/>
        <w:gridCol w:w="323"/>
        <w:gridCol w:w="328"/>
        <w:gridCol w:w="325"/>
        <w:gridCol w:w="326"/>
        <w:gridCol w:w="327"/>
        <w:gridCol w:w="327"/>
        <w:gridCol w:w="325"/>
        <w:gridCol w:w="315"/>
      </w:tblGrid>
      <w:tr>
        <w:trPr>
          <w:trHeight w:val="842" w:hRule="atLeast"/>
          <w:cantSplit w:val="true"/>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vertAlign w:val="baseline"/>
              </w:rPr>
            </w:r>
          </w:p>
        </w:tc>
        <w:tc>
          <w:tcPr>
            <w:tcW w:w="32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ЗК 1</w:t>
            </w:r>
          </w:p>
        </w:tc>
        <w:tc>
          <w:tcPr>
            <w:tcW w:w="32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ЗК 2</w:t>
            </w:r>
          </w:p>
        </w:tc>
        <w:tc>
          <w:tcPr>
            <w:tcW w:w="32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ЗК 3</w:t>
            </w:r>
          </w:p>
        </w:tc>
        <w:tc>
          <w:tcPr>
            <w:tcW w:w="324"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20"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ЗК 4</w:t>
            </w:r>
          </w:p>
        </w:tc>
        <w:tc>
          <w:tcPr>
            <w:tcW w:w="32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113"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ЗК 5</w:t>
            </w:r>
          </w:p>
          <w:p>
            <w:pPr>
              <w:pStyle w:val="LOnormal"/>
              <w:keepNext w:val="false"/>
              <w:keepLines w:val="false"/>
              <w:widowControl w:val="false"/>
              <w:shd w:val="clear" w:fill="auto"/>
              <w:spacing w:lineRule="auto" w:line="240" w:before="0" w:after="0"/>
              <w:ind w:left="113" w:right="113" w:hanging="0"/>
              <w:jc w:val="center"/>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r>
          </w:p>
        </w:tc>
        <w:tc>
          <w:tcPr>
            <w:tcW w:w="324"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ЗК 6</w:t>
            </w:r>
          </w:p>
        </w:tc>
        <w:tc>
          <w:tcPr>
            <w:tcW w:w="324"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ЗК 7</w:t>
            </w:r>
          </w:p>
        </w:tc>
        <w:tc>
          <w:tcPr>
            <w:tcW w:w="32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ЗК 8</w:t>
            </w:r>
          </w:p>
        </w:tc>
        <w:tc>
          <w:tcPr>
            <w:tcW w:w="32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ЗК 9</w:t>
            </w:r>
          </w:p>
        </w:tc>
        <w:tc>
          <w:tcPr>
            <w:tcW w:w="32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ЗК 10</w:t>
            </w:r>
          </w:p>
        </w:tc>
        <w:tc>
          <w:tcPr>
            <w:tcW w:w="32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ЗК 11</w:t>
            </w:r>
          </w:p>
        </w:tc>
        <w:tc>
          <w:tcPr>
            <w:tcW w:w="32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rPr>
              <w:t>З</w:t>
            </w: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К 12</w:t>
            </w:r>
          </w:p>
        </w:tc>
        <w:tc>
          <w:tcPr>
            <w:tcW w:w="32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1</w:t>
            </w:r>
          </w:p>
        </w:tc>
        <w:tc>
          <w:tcPr>
            <w:tcW w:w="32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2</w:t>
            </w:r>
          </w:p>
        </w:tc>
        <w:tc>
          <w:tcPr>
            <w:tcW w:w="32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3</w:t>
            </w:r>
          </w:p>
        </w:tc>
        <w:tc>
          <w:tcPr>
            <w:tcW w:w="32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4</w:t>
            </w:r>
          </w:p>
        </w:tc>
        <w:tc>
          <w:tcPr>
            <w:tcW w:w="329"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5</w:t>
            </w:r>
          </w:p>
        </w:tc>
        <w:tc>
          <w:tcPr>
            <w:tcW w:w="32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6</w:t>
            </w:r>
          </w:p>
        </w:tc>
        <w:tc>
          <w:tcPr>
            <w:tcW w:w="32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7</w:t>
            </w:r>
          </w:p>
        </w:tc>
        <w:tc>
          <w:tcPr>
            <w:tcW w:w="32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8</w:t>
            </w:r>
          </w:p>
        </w:tc>
        <w:tc>
          <w:tcPr>
            <w:tcW w:w="32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6"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9</w:t>
            </w:r>
          </w:p>
        </w:tc>
        <w:tc>
          <w:tcPr>
            <w:tcW w:w="32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10</w:t>
            </w:r>
          </w:p>
        </w:tc>
        <w:tc>
          <w:tcPr>
            <w:tcW w:w="32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5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11</w:t>
            </w:r>
          </w:p>
        </w:tc>
        <w:tc>
          <w:tcPr>
            <w:tcW w:w="32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12</w:t>
            </w:r>
          </w:p>
        </w:tc>
        <w:tc>
          <w:tcPr>
            <w:tcW w:w="32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20"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13</w:t>
            </w:r>
          </w:p>
        </w:tc>
        <w:tc>
          <w:tcPr>
            <w:tcW w:w="32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14</w:t>
            </w:r>
          </w:p>
        </w:tc>
        <w:tc>
          <w:tcPr>
            <w:tcW w:w="315"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ФК 15</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6"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2</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3</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963"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4</w:t>
            </w:r>
          </w:p>
        </w:tc>
        <w:tc>
          <w:tcPr>
            <w:tcW w:w="3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4"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4"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4"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3"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1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5</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6</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7</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8</w:t>
            </w:r>
          </w:p>
        </w:tc>
        <w:tc>
          <w:tcPr>
            <w:tcW w:w="3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4"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3"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9</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10</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11</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12</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13</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3"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14</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15</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16</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w:t>
            </w:r>
            <w:r>
              <w:rPr>
                <w:rFonts w:eastAsia="Times New Roman" w:cs="Times New Roman" w:ascii="Times New Roman" w:hAnsi="Times New Roman"/>
                <w:b/>
                <w:sz w:val="24"/>
                <w:szCs w:val="24"/>
              </w:rPr>
              <w:t>7</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w:t>
            </w:r>
            <w:r>
              <w:rPr>
                <w:rFonts w:eastAsia="Times New Roman" w:cs="Times New Roman" w:ascii="Times New Roman" w:hAnsi="Times New Roman"/>
                <w:b/>
                <w:sz w:val="24"/>
                <w:szCs w:val="24"/>
              </w:rPr>
              <w:t>8</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ОК </w:t>
            </w:r>
            <w:r>
              <w:rPr>
                <w:rFonts w:eastAsia="Times New Roman" w:cs="Times New Roman" w:ascii="Times New Roman" w:hAnsi="Times New Roman"/>
                <w:b/>
                <w:sz w:val="24"/>
                <w:szCs w:val="24"/>
              </w:rPr>
              <w:t>19</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963"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2</w:t>
            </w:r>
            <w:r>
              <w:rPr>
                <w:rFonts w:eastAsia="Times New Roman" w:cs="Times New Roman" w:ascii="Times New Roman" w:hAnsi="Times New Roman"/>
                <w:b/>
                <w:sz w:val="24"/>
                <w:szCs w:val="24"/>
              </w:rPr>
              <w:t>0</w:t>
            </w:r>
          </w:p>
        </w:tc>
        <w:tc>
          <w:tcPr>
            <w:tcW w:w="327"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963"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2</w:t>
            </w:r>
            <w:r>
              <w:rPr>
                <w:rFonts w:eastAsia="Times New Roman" w:cs="Times New Roman" w:ascii="Times New Roman" w:hAnsi="Times New Roman"/>
                <w:b/>
                <w:sz w:val="24"/>
                <w:szCs w:val="24"/>
              </w:rPr>
              <w:t>1</w:t>
            </w:r>
          </w:p>
        </w:tc>
        <w:tc>
          <w:tcPr>
            <w:tcW w:w="327"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336"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sz w:val="24"/>
                <w:szCs w:val="24"/>
              </w:rPr>
              <w:t>ОК 22</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336"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2</w:t>
            </w:r>
            <w:r>
              <w:rPr>
                <w:rFonts w:eastAsia="Times New Roman" w:cs="Times New Roman" w:ascii="Times New Roman" w:hAnsi="Times New Roman"/>
                <w:b/>
                <w:sz w:val="24"/>
                <w:szCs w:val="24"/>
              </w:rPr>
              <w:t>3</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2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31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bl>
    <w:p>
      <w:pPr>
        <w:pStyle w:val="LOnormal"/>
        <w:keepNext w:val="false"/>
        <w:keepLines w:val="false"/>
        <w:pageBreakBefore w:val="false"/>
        <w:widowControl/>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r>
        <w:br w:type="page"/>
      </w:r>
    </w:p>
    <w:p>
      <w:pPr>
        <w:pStyle w:val="LOnormal"/>
        <w:keepNext w:val="false"/>
        <w:keepLines w:val="false"/>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5. Матриця забезпечення програмних результатів навчання відповідними компонентами освітньої програми</w:t>
      </w:r>
    </w:p>
    <w:tbl>
      <w:tblPr>
        <w:tblStyle w:val="Table5"/>
        <w:tblW w:w="9748" w:type="dxa"/>
        <w:jc w:val="left"/>
        <w:tblInd w:w="-111" w:type="dxa"/>
        <w:tblLayout w:type="fixed"/>
        <w:tblCellMar>
          <w:top w:w="0" w:type="dxa"/>
          <w:left w:w="108" w:type="dxa"/>
          <w:bottom w:w="0" w:type="dxa"/>
          <w:right w:w="108" w:type="dxa"/>
        </w:tblCellMar>
        <w:tblLook w:val="0000"/>
      </w:tblPr>
      <w:tblGrid>
        <w:gridCol w:w="1096"/>
        <w:gridCol w:w="576"/>
        <w:gridCol w:w="577"/>
        <w:gridCol w:w="577"/>
        <w:gridCol w:w="578"/>
        <w:gridCol w:w="578"/>
        <w:gridCol w:w="577"/>
        <w:gridCol w:w="577"/>
        <w:gridCol w:w="576"/>
        <w:gridCol w:w="579"/>
        <w:gridCol w:w="577"/>
        <w:gridCol w:w="576"/>
        <w:gridCol w:w="577"/>
        <w:gridCol w:w="577"/>
        <w:gridCol w:w="576"/>
        <w:gridCol w:w="571"/>
      </w:tblGrid>
      <w:tr>
        <w:trPr>
          <w:trHeight w:val="1051" w:hRule="atLeast"/>
          <w:cantSplit w:val="true"/>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r>
          </w:p>
        </w:tc>
        <w:tc>
          <w:tcPr>
            <w:tcW w:w="5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1</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2</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3</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4</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5</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6</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7</w:t>
            </w:r>
          </w:p>
        </w:tc>
        <w:tc>
          <w:tcPr>
            <w:tcW w:w="5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8</w:t>
            </w:r>
          </w:p>
        </w:tc>
        <w:tc>
          <w:tcPr>
            <w:tcW w:w="579"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9</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10</w:t>
            </w:r>
          </w:p>
        </w:tc>
        <w:tc>
          <w:tcPr>
            <w:tcW w:w="5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11</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12</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13</w:t>
            </w:r>
          </w:p>
        </w:tc>
        <w:tc>
          <w:tcPr>
            <w:tcW w:w="5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14</w:t>
            </w:r>
          </w:p>
        </w:tc>
        <w:tc>
          <w:tcPr>
            <w:tcW w:w="571"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113"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t>ПРН 15</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2</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3</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r>
      <w:tr>
        <w:trPr>
          <w:trHeight w:val="20" w:hRule="atLeast"/>
        </w:trPr>
        <w:tc>
          <w:tcPr>
            <w:tcW w:w="1096"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4</w:t>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5</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6</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7</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r>
      <w:tr>
        <w:trPr>
          <w:trHeight w:val="20" w:hRule="atLeast"/>
        </w:trPr>
        <w:tc>
          <w:tcPr>
            <w:tcW w:w="1096"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8</w:t>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9</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10</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11</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12</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13</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14</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15</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16</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w:t>
            </w:r>
            <w:r>
              <w:rPr>
                <w:rFonts w:eastAsia="Times New Roman" w:cs="Times New Roman" w:ascii="Times New Roman" w:hAnsi="Times New Roman"/>
                <w:b/>
                <w:sz w:val="24"/>
                <w:szCs w:val="24"/>
              </w:rPr>
              <w:t>7</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1</w:t>
            </w:r>
            <w:r>
              <w:rPr>
                <w:rFonts w:eastAsia="Times New Roman" w:cs="Times New Roman" w:ascii="Times New Roman" w:hAnsi="Times New Roman"/>
                <w:b/>
                <w:sz w:val="24"/>
                <w:szCs w:val="24"/>
              </w:rPr>
              <w:t>8</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1F497D"/>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ОК </w:t>
            </w:r>
            <w:r>
              <w:rPr>
                <w:rFonts w:eastAsia="Times New Roman" w:cs="Times New Roman" w:ascii="Times New Roman" w:hAnsi="Times New Roman"/>
                <w:b/>
                <w:sz w:val="24"/>
                <w:szCs w:val="24"/>
              </w:rPr>
              <w:t>19</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r>
        <w:trPr>
          <w:trHeight w:val="20" w:hRule="atLeast"/>
        </w:trPr>
        <w:tc>
          <w:tcPr>
            <w:tcW w:w="1096"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2</w:t>
            </w:r>
            <w:r>
              <w:rPr>
                <w:rFonts w:eastAsia="Times New Roman" w:cs="Times New Roman" w:ascii="Times New Roman" w:hAnsi="Times New Roman"/>
                <w:b/>
                <w:sz w:val="24"/>
                <w:szCs w:val="24"/>
              </w:rPr>
              <w:t>0</w:t>
            </w:r>
          </w:p>
        </w:tc>
        <w:tc>
          <w:tcPr>
            <w:tcW w:w="57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1"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1096"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2</w:t>
            </w:r>
            <w:r>
              <w:rPr>
                <w:rFonts w:eastAsia="Times New Roman" w:cs="Times New Roman" w:ascii="Times New Roman" w:hAnsi="Times New Roman"/>
                <w:b/>
                <w:sz w:val="24"/>
                <w:szCs w:val="24"/>
              </w:rPr>
              <w:t>1</w:t>
            </w:r>
          </w:p>
        </w:tc>
        <w:tc>
          <w:tcPr>
            <w:tcW w:w="576"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i w:val="false"/>
                <w:caps w:val="false"/>
                <w:smallCaps w:val="false"/>
                <w:strike w:val="false"/>
                <w:dstrike w:val="false"/>
                <w:color w:val="1F497D"/>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r>
          </w:p>
        </w:tc>
      </w:tr>
      <w:tr>
        <w:trPr>
          <w:trHeight w:val="20" w:hRule="atLeast"/>
        </w:trPr>
        <w:tc>
          <w:tcPr>
            <w:tcW w:w="1096"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sz w:val="24"/>
                <w:szCs w:val="24"/>
              </w:rPr>
              <w:t>ОК 22</w:t>
            </w:r>
          </w:p>
        </w:tc>
        <w:tc>
          <w:tcPr>
            <w:tcW w:w="576"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1F497D"/>
                <w:position w:val="0"/>
                <w:sz w:val="28"/>
                <w:sz w:val="28"/>
                <w:szCs w:val="28"/>
                <w:u w:val="none"/>
                <w:vertAlign w:val="baseline"/>
              </w:rPr>
            </w:pPr>
            <w:r>
              <w:rPr>
                <w:rFonts w:eastAsia="Times New Roman" w:cs="Times New Roman" w:ascii="Times New Roman" w:hAnsi="Times New Roman"/>
                <w:color w:val="1F497D"/>
                <w:sz w:val="28"/>
                <w:szCs w:val="28"/>
              </w:rPr>
              <w:t>*</w:t>
            </w:r>
          </w:p>
        </w:tc>
        <w:tc>
          <w:tcPr>
            <w:tcW w:w="577"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578" w:type="dxa"/>
            <w:tcBorders>
              <w:left w:val="single" w:sz="4" w:space="0" w:color="000000"/>
              <w:bottom w:val="single" w:sz="4" w:space="0" w:color="000000"/>
              <w:right w:val="single" w:sz="4" w:space="0" w:color="000000"/>
            </w:tcBorders>
          </w:tcPr>
          <w:p>
            <w:pPr>
              <w:pStyle w:val="LO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t>
            </w:r>
          </w:p>
        </w:tc>
        <w:tc>
          <w:tcPr>
            <w:tcW w:w="5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6"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c>
          <w:tcPr>
            <w:tcW w:w="571"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sz w:val="28"/>
                <w:szCs w:val="28"/>
              </w:rPr>
              <w:t>*</w:t>
            </w:r>
          </w:p>
        </w:tc>
      </w:tr>
      <w:tr>
        <w:trPr>
          <w:trHeight w:val="20" w:hRule="atLeast"/>
        </w:trPr>
        <w:tc>
          <w:tcPr>
            <w:tcW w:w="109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ОК 2</w:t>
            </w:r>
            <w:r>
              <w:rPr>
                <w:rFonts w:eastAsia="Times New Roman" w:cs="Times New Roman" w:ascii="Times New Roman" w:hAnsi="Times New Roman"/>
                <w:b/>
                <w:sz w:val="24"/>
                <w:szCs w:val="24"/>
              </w:rPr>
              <w:t>3</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c>
          <w:tcPr>
            <w:tcW w:w="57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vertAlign w:val="baseline"/>
              </w:rPr>
              <w:t>*</w:t>
            </w:r>
          </w:p>
        </w:tc>
      </w:tr>
    </w:tbl>
    <w:p>
      <w:pPr>
        <w:pStyle w:val="LOnormal"/>
        <w:keepNext w:val="false"/>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vertAlign w:val="baseline"/>
        </w:rPr>
      </w:pPr>
      <w:r>
        <w:rPr/>
      </w:r>
    </w:p>
    <w:sectPr>
      <w:type w:val="nextPage"/>
      <w:pgSz w:w="11906" w:h="16838"/>
      <w:pgMar w:left="1418" w:right="851" w:gutter="0" w:header="0" w:top="851" w:footer="0" w:bottom="85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Calibri">
    <w:charset w:val="cc"/>
    <w:family w:val="swiss"/>
    <w:pitch w:val="variable"/>
  </w:font>
  <w:font w:name="Liberation Sans">
    <w:altName w:val="Arial"/>
    <w:charset w:val="01"/>
    <w:family w:val="swiss"/>
    <w:pitch w:val="default"/>
  </w:font>
  <w:font w:name="Georgia">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uk-UA"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Calibri" w:cs="Calibri"/>
      <w:color w:val="auto"/>
      <w:kern w:val="0"/>
      <w:sz w:val="20"/>
      <w:szCs w:val="20"/>
      <w:lang w:val="uk-UA" w:eastAsia="zh-CN" w:bidi="hi-IN"/>
    </w:rPr>
  </w:style>
  <w:style w:type="paragraph" w:styleId="1">
    <w:name w:val="Heading 1"/>
    <w:basedOn w:val="LOnormal"/>
    <w:next w:val="LOnormal"/>
    <w:qFormat/>
    <w:pPr>
      <w:keepNext w:val="true"/>
      <w:keepLines/>
      <w:pageBreakBefore w:val="false"/>
      <w:widowControl/>
      <w:shd w:val="clear" w:fill="auto"/>
      <w:spacing w:lineRule="auto" w:line="240" w:before="480" w:after="120"/>
      <w:ind w:left="0" w:right="0" w:hanging="0"/>
      <w:jc w:val="left"/>
    </w:pPr>
    <w:rPr>
      <w:rFonts w:ascii="Calibri" w:hAnsi="Calibri" w:eastAsia="Calibri" w:cs="Calibri"/>
      <w:b/>
      <w:i w:val="false"/>
      <w:caps w:val="false"/>
      <w:smallCaps w:val="false"/>
      <w:strike w:val="false"/>
      <w:dstrike w:val="false"/>
      <w:color w:val="000000"/>
      <w:position w:val="0"/>
      <w:sz w:val="48"/>
      <w:sz w:val="48"/>
      <w:szCs w:val="48"/>
      <w:u w:val="none"/>
      <w:shd w:fill="auto" w:val="clear"/>
      <w:vertAlign w:val="baseline"/>
    </w:rPr>
  </w:style>
  <w:style w:type="paragraph" w:styleId="2">
    <w:name w:val="Heading 2"/>
    <w:basedOn w:val="LOnormal"/>
    <w:next w:val="LOnormal"/>
    <w:qFormat/>
    <w:pPr>
      <w:keepNext w:val="true"/>
      <w:keepLines/>
      <w:pageBreakBefore w:val="false"/>
      <w:widowControl/>
      <w:shd w:val="clear" w:fill="auto"/>
      <w:spacing w:lineRule="auto" w:line="240" w:before="360" w:after="80"/>
      <w:ind w:left="0" w:right="0" w:hanging="0"/>
      <w:jc w:val="left"/>
    </w:pPr>
    <w:rPr>
      <w:rFonts w:ascii="Calibri" w:hAnsi="Calibri" w:eastAsia="Calibri" w:cs="Calibri"/>
      <w:b/>
      <w:i w:val="false"/>
      <w:caps w:val="false"/>
      <w:smallCaps w:val="false"/>
      <w:strike w:val="false"/>
      <w:dstrike w:val="false"/>
      <w:color w:val="000000"/>
      <w:position w:val="0"/>
      <w:sz w:val="36"/>
      <w:sz w:val="36"/>
      <w:szCs w:val="36"/>
      <w:u w:val="none"/>
      <w:shd w:fill="auto" w:val="clear"/>
      <w:vertAlign w:val="baseline"/>
    </w:rPr>
  </w:style>
  <w:style w:type="paragraph" w:styleId="3">
    <w:name w:val="Heading 3"/>
    <w:basedOn w:val="LOnormal"/>
    <w:next w:val="LOnormal"/>
    <w:qFormat/>
    <w:pPr>
      <w:keepNext w:val="true"/>
      <w:keepLines/>
      <w:pageBreakBefore w:val="false"/>
      <w:widowControl/>
      <w:shd w:val="clear" w:fill="auto"/>
      <w:spacing w:lineRule="auto" w:line="240" w:before="280" w:after="80"/>
      <w:ind w:left="0" w:right="0" w:hanging="0"/>
      <w:jc w:val="left"/>
    </w:pPr>
    <w:rPr>
      <w:rFonts w:ascii="Calibri" w:hAnsi="Calibri" w:eastAsia="Calibri" w:cs="Calibri"/>
      <w:b/>
      <w:i w:val="false"/>
      <w:caps w:val="false"/>
      <w:smallCaps w:val="false"/>
      <w:strike w:val="false"/>
      <w:dstrike w:val="false"/>
      <w:color w:val="000000"/>
      <w:position w:val="0"/>
      <w:sz w:val="28"/>
      <w:sz w:val="28"/>
      <w:szCs w:val="28"/>
      <w:u w:val="none"/>
      <w:shd w:fill="auto" w:val="clear"/>
      <w:vertAlign w:val="baseline"/>
    </w:rPr>
  </w:style>
  <w:style w:type="paragraph" w:styleId="4">
    <w:name w:val="Heading 4"/>
    <w:basedOn w:val="LOnormal"/>
    <w:next w:val="LOnormal"/>
    <w:qFormat/>
    <w:pPr>
      <w:keepNext w:val="true"/>
      <w:keepLines/>
      <w:pageBreakBefore w:val="false"/>
      <w:widowControl/>
      <w:shd w:val="clear" w:fill="auto"/>
      <w:spacing w:lineRule="auto" w:line="240" w:before="240" w:after="40"/>
      <w:ind w:left="0" w:right="0" w:hanging="0"/>
      <w:jc w:val="left"/>
    </w:pPr>
    <w:rPr>
      <w:rFonts w:ascii="Calibri" w:hAnsi="Calibri" w:eastAsia="Calibri" w:cs="Calibri"/>
      <w:b/>
      <w:i w:val="false"/>
      <w:caps w:val="false"/>
      <w:smallCaps w:val="false"/>
      <w:strike w:val="false"/>
      <w:dstrike w:val="false"/>
      <w:color w:val="000000"/>
      <w:position w:val="0"/>
      <w:sz w:val="24"/>
      <w:sz w:val="24"/>
      <w:szCs w:val="24"/>
      <w:u w:val="none"/>
      <w:shd w:fill="auto" w:val="clear"/>
      <w:vertAlign w:val="baseline"/>
    </w:rPr>
  </w:style>
  <w:style w:type="paragraph" w:styleId="5">
    <w:name w:val="Heading 5"/>
    <w:basedOn w:val="LOnormal"/>
    <w:next w:val="LOnormal"/>
    <w:qFormat/>
    <w:pPr>
      <w:keepNext w:val="true"/>
      <w:keepLines/>
      <w:pageBreakBefore w:val="false"/>
      <w:widowControl/>
      <w:shd w:val="clear" w:fill="auto"/>
      <w:spacing w:lineRule="auto" w:line="240" w:before="220" w:after="40"/>
      <w:ind w:left="0" w:right="0" w:hanging="0"/>
      <w:jc w:val="left"/>
    </w:pPr>
    <w:rPr>
      <w:rFonts w:ascii="Calibri" w:hAnsi="Calibri" w:eastAsia="Calibri" w:cs="Calibri"/>
      <w:b/>
      <w:i w:val="false"/>
      <w:caps w:val="false"/>
      <w:smallCaps w:val="false"/>
      <w:strike w:val="false"/>
      <w:dstrike w:val="false"/>
      <w:color w:val="000000"/>
      <w:position w:val="0"/>
      <w:sz w:val="22"/>
      <w:sz w:val="22"/>
      <w:szCs w:val="22"/>
      <w:u w:val="none"/>
      <w:shd w:fill="auto" w:val="clear"/>
      <w:vertAlign w:val="baseline"/>
    </w:rPr>
  </w:style>
  <w:style w:type="paragraph" w:styleId="6">
    <w:name w:val="Heading 6"/>
    <w:basedOn w:val="LOnormal"/>
    <w:next w:val="LOnormal"/>
    <w:qFormat/>
    <w:pPr>
      <w:keepNext w:val="true"/>
      <w:keepLines/>
      <w:pageBreakBefore w:val="false"/>
      <w:widowControl/>
      <w:shd w:val="clear" w:fill="auto"/>
      <w:spacing w:lineRule="auto" w:line="240" w:before="200" w:after="40"/>
      <w:ind w:left="0" w:right="0" w:hanging="0"/>
      <w:jc w:val="left"/>
    </w:pPr>
    <w:rPr>
      <w:rFonts w:ascii="Calibri" w:hAnsi="Calibri" w:eastAsia="Calibri" w:cs="Calibri"/>
      <w:b/>
      <w:i w:val="false"/>
      <w:caps w:val="false"/>
      <w:smallCaps w:val="false"/>
      <w:strike w:val="false"/>
      <w:dstrike w:val="false"/>
      <w:color w:val="000000"/>
      <w:position w:val="0"/>
      <w:sz w:val="20"/>
      <w:sz w:val="20"/>
      <w:szCs w:val="20"/>
      <w:u w:val="none"/>
      <w:shd w:fill="auto" w:val="clear"/>
      <w:vertAlign w:val="baseline"/>
    </w:rPr>
  </w:style>
  <w:style w:type="paragraph" w:styleId="Style8">
    <w:name w:val="Заголовок"/>
    <w:basedOn w:val="Normal"/>
    <w:next w:val="Style9"/>
    <w:qFormat/>
    <w:pPr>
      <w:keepNext w:val="true"/>
      <w:spacing w:before="240" w:after="120"/>
    </w:pPr>
    <w:rPr>
      <w:rFonts w:ascii="Liberation Sans" w:hAnsi="Liberation Sans"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Покажчик"/>
    <w:basedOn w:val="Normal"/>
    <w:qFormat/>
    <w:pPr>
      <w:suppressLineNumbers/>
    </w:pPr>
    <w:rPr>
      <w:rFonts w:ascii="Calibri" w:hAnsi="Calibri" w:cs="Arial"/>
      <w:lang w:val="zxx" w:eastAsia="zxx" w:bidi="zxx"/>
    </w:rPr>
  </w:style>
  <w:style w:type="paragraph" w:styleId="LOnormal" w:default="1">
    <w:name w:val="LO-normal"/>
    <w:qFormat/>
    <w:pPr>
      <w:widowControl w:val="false"/>
      <w:suppressAutoHyphens w:val="true"/>
      <w:bidi w:val="0"/>
      <w:spacing w:before="0" w:after="0"/>
      <w:jc w:val="left"/>
    </w:pPr>
    <w:rPr>
      <w:rFonts w:ascii="Calibri" w:hAnsi="Calibri" w:eastAsia="Calibri" w:cs="Calibri"/>
      <w:color w:val="auto"/>
      <w:kern w:val="0"/>
      <w:sz w:val="20"/>
      <w:szCs w:val="20"/>
      <w:lang w:val="uk-UA" w:eastAsia="zh-CN" w:bidi="hi-IN"/>
    </w:rPr>
  </w:style>
  <w:style w:type="paragraph" w:styleId="Style13">
    <w:name w:val="Title"/>
    <w:basedOn w:val="LOnormal"/>
    <w:next w:val="LOnormal"/>
    <w:qFormat/>
    <w:pPr>
      <w:keepNext w:val="true"/>
      <w:keepLines/>
      <w:pageBreakBefore w:val="false"/>
      <w:widowControl/>
      <w:shd w:val="clear" w:fill="auto"/>
      <w:spacing w:lineRule="auto" w:line="240" w:before="480" w:after="120"/>
      <w:ind w:left="0" w:right="0" w:hanging="0"/>
      <w:jc w:val="left"/>
    </w:pPr>
    <w:rPr>
      <w:rFonts w:ascii="Calibri" w:hAnsi="Calibri" w:eastAsia="Calibri" w:cs="Calibri"/>
      <w:b/>
      <w:i w:val="false"/>
      <w:caps w:val="false"/>
      <w:smallCaps w:val="false"/>
      <w:strike w:val="false"/>
      <w:dstrike w:val="false"/>
      <w:color w:val="000000"/>
      <w:position w:val="0"/>
      <w:sz w:val="72"/>
      <w:sz w:val="72"/>
      <w:szCs w:val="72"/>
      <w:u w:val="none"/>
      <w:shd w:fill="auto" w:val="clear"/>
      <w:vertAlign w:val="baseline"/>
    </w:rPr>
  </w:style>
  <w:style w:type="paragraph" w:styleId="Style14">
    <w:name w:val="Subtitle"/>
    <w:basedOn w:val="LOnormal"/>
    <w:next w:val="LOnormal"/>
    <w:qFormat/>
    <w:pPr>
      <w:keepNext w:val="true"/>
      <w:keepLines/>
      <w:pageBreakBefore w:val="false"/>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23</TotalTime>
  <Application>LibreOffice/7.3.2.2$Windows_X86_64 LibreOffice_project/49f2b1bff42cfccbd8f788c8dc32c1c309559be0</Application>
  <AppVersion>15.0000</AppVersion>
  <Pages>15</Pages>
  <Words>4435</Words>
  <Characters>27799</Characters>
  <CharactersWithSpaces>31103</CharactersWithSpaces>
  <Paragraphs>1161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2023-05-21T19:29:07Z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