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09" w:rsidRPr="00720CC1" w:rsidRDefault="0063595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r w:rsidRPr="00720CC1">
        <w:rPr>
          <w:rFonts w:ascii="Times New Roman" w:eastAsia="Times New Roman" w:hAnsi="Times New Roman" w:cs="Times New Roman"/>
          <w:smallCaps/>
          <w:sz w:val="24"/>
          <w:szCs w:val="24"/>
          <w:lang w:val="uk-UA"/>
        </w:rPr>
        <w:t xml:space="preserve"> ПРОЄКТ</w:t>
      </w:r>
    </w:p>
    <w:p w:rsidR="00895209" w:rsidRPr="00720CC1" w:rsidRDefault="008952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mallCaps/>
          <w:sz w:val="24"/>
          <w:szCs w:val="24"/>
          <w:lang w:val="uk-UA"/>
        </w:rPr>
        <w:t>МІНІСТЕРСТВО ОСВІТИ І НАУКИ УКРАЇНИ</w:t>
      </w: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 xml:space="preserve">КИЇВСЬКИЙ НАЦІОНАЛЬНИЙ УНІВЕРСИТЕТ 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>ТЕХНОЛОГІЙ ТА ДИЗАЙНУ</w:t>
      </w: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ЗАТВЕРДЖЕНО ВЧЕНОЮ РАДОЮ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Голова Вченої ради КНУТД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_________________ Іван ГРИЩЕНКО 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(протокол від «    »              20     р. №    )</w:t>
      </w: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63595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720CC1">
        <w:rPr>
          <w:rFonts w:ascii="Times New Roman" w:eastAsia="Times New Roman" w:hAnsi="Times New Roman" w:cs="Times New Roman"/>
          <w:b/>
          <w:smallCaps/>
          <w:sz w:val="32"/>
          <w:szCs w:val="32"/>
          <w:lang w:val="uk-UA"/>
        </w:rPr>
        <w:t>ОСВІТНЬО-ПРОФЕСІЙНА ПРОГРАМА</w:t>
      </w: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lang w:val="uk-UA"/>
        </w:rPr>
      </w:pP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</w:p>
    <w:p w:rsidR="00895209" w:rsidRPr="00720CC1" w:rsidRDefault="008952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13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Рівень вищої освіти 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другий (магістерський)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Ступінь вищої освіти 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магістр</w:t>
      </w: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</w:p>
    <w:p w:rsidR="00895209" w:rsidRPr="00720CC1" w:rsidRDefault="0063595A" w:rsidP="00C55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Галузь знань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17 Електроніка, автоматизація та електронні комунікації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  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  </w:t>
      </w:r>
    </w:p>
    <w:p w:rsidR="00895209" w:rsidRPr="00720CC1" w:rsidRDefault="0063595A" w:rsidP="00C55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125" w:hangingChars="759" w:hanging="21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Спеціальність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174 Автоматизація, комп’ютерно-інтегровані технології та робототехніка</w:t>
      </w: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  </w:t>
      </w:r>
    </w:p>
    <w:p w:rsidR="00895209" w:rsidRPr="00720CC1" w:rsidRDefault="0063595A" w:rsidP="00C55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125" w:hangingChars="759" w:hanging="21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Кваліфікація </w:t>
      </w:r>
      <w:r w:rsidR="00C55176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магістр з автоматизації</w:t>
      </w:r>
      <w:r w:rsidR="00A972C4"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комп’ютерно-інтегрованих технологій та робототехніки</w:t>
      </w: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Київ 202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895209" w:rsidRPr="00720CC1" w:rsidRDefault="0063595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lang w:val="uk-UA"/>
        </w:rPr>
        <w:br w:type="page"/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>ЛИСТ ПОГОДЖЕННЯ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вищої освіти _________</w:t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другий (магістерський)</w:t>
      </w: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Ступінь вищої освіти ______________</w:t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магістр</w:t>
      </w: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Галузь знань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7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Електроніка, автоматизація та електронні комунікації 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Спеціальність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174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Автоматизація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комп’ютерно-інтегровані технології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та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br/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робототехніка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   _______________________   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Оксана МОРГУЛЕЦЬ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>(підпис)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Схвалено Вченою радою факультету </w:t>
      </w:r>
      <w:proofErr w:type="spellStart"/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комп’ютерних технологій</w:t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 від «____» ____________________ 20___ року № __________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Декан факультету</w:t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комп’ютерних технологій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lang w:val="uk-UA"/>
        </w:rPr>
      </w:pPr>
      <w:bookmarkStart w:id="1" w:name="_heading=h.gjdgxs" w:colFirst="0" w:colLast="0"/>
      <w:bookmarkEnd w:id="1"/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 _______________________          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Володимир ПАВЛЕНКО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>(підпис)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 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і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нформаційних та комп’ютерних технологій                                 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 від «____» ____________________ 20___ року № ____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Завідувач кафедри</w:t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інформаційних та комп’ютерних технологій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 _______________________   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55176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7F64C5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ладислава</w:t>
      </w:r>
      <w:r w:rsidR="00C55176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СКІДАН</w:t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>(підпис)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 </w:t>
      </w: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uk-UA"/>
        </w:rPr>
      </w:pPr>
    </w:p>
    <w:p w:rsidR="00895209" w:rsidRPr="00720CC1" w:rsidRDefault="0063595A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Гарант освітньої програми</w:t>
      </w:r>
    </w:p>
    <w:p w:rsidR="00895209" w:rsidRPr="00720CC1" w:rsidRDefault="0063595A">
      <w:pPr>
        <w:spacing w:line="240" w:lineRule="auto"/>
        <w:ind w:left="0" w:hanging="2"/>
        <w:rPr>
          <w:rFonts w:ascii="Times New Roman" w:eastAsia="Times New Roman" w:hAnsi="Times New Roman" w:cs="Times New Roman"/>
          <w:lang w:val="uk-UA"/>
        </w:rPr>
      </w:pPr>
      <w:r w:rsidRPr="00720CC1">
        <w:rPr>
          <w:rFonts w:ascii="Times New Roman" w:eastAsia="Times New Roman" w:hAnsi="Times New Roman" w:cs="Times New Roman"/>
          <w:lang w:val="uk-UA"/>
        </w:rPr>
        <w:t xml:space="preserve">____________ _______________________   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Юрій </w:t>
      </w:r>
      <w:r w:rsidR="00C55176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ЛЕБЕДЕНКО</w:t>
      </w:r>
    </w:p>
    <w:p w:rsidR="00895209" w:rsidRPr="00720CC1" w:rsidRDefault="0063595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>(підпис)</w:t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895209" w:rsidRPr="00720CC1" w:rsidRDefault="0063595A">
      <w:pPr>
        <w:tabs>
          <w:tab w:val="left" w:pos="2989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>Введено в дію наказом КНУТД від « _____»  ________  202</w:t>
      </w:r>
      <w:r w:rsidR="00C55176"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 ____ .</w:t>
      </w:r>
      <w:r w:rsidRPr="00720CC1">
        <w:rPr>
          <w:lang w:val="uk-UA"/>
        </w:rPr>
        <w:br w:type="page"/>
      </w:r>
    </w:p>
    <w:p w:rsidR="00895209" w:rsidRPr="00720CC1" w:rsidRDefault="00895209">
      <w:pPr>
        <w:ind w:left="1" w:hanging="3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</w:p>
    <w:p w:rsidR="00895209" w:rsidRPr="00720CC1" w:rsidRDefault="0063595A">
      <w:pPr>
        <w:ind w:left="1" w:hanging="3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>ПЕРЕДМОВА</w:t>
      </w:r>
    </w:p>
    <w:p w:rsidR="00895209" w:rsidRPr="00720CC1" w:rsidRDefault="00895209">
      <w:pPr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95209" w:rsidRPr="00720CC1" w:rsidRDefault="0063595A">
      <w:pPr>
        <w:spacing w:after="120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РОЗРОБЛЕНО: </w:t>
      </w:r>
      <w:r w:rsidRPr="00720CC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Київський національний університет технологій та дизайну</w:t>
      </w:r>
    </w:p>
    <w:p w:rsidR="00895209" w:rsidRPr="00720CC1" w:rsidRDefault="0063595A">
      <w:pPr>
        <w:spacing w:after="120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mallCaps/>
          <w:sz w:val="24"/>
          <w:szCs w:val="24"/>
          <w:lang w:val="uk-UA"/>
        </w:rPr>
        <w:t>РОЗРОБНИКИ</w:t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895209" w:rsidRPr="00720CC1" w:rsidRDefault="0063595A">
      <w:pPr>
        <w:ind w:left="0" w:right="281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Гарант освітньої програми  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64C5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Лебеденко</w:t>
      </w:r>
      <w:proofErr w:type="spellEnd"/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Ю.</w:t>
      </w:r>
      <w:r w:rsidR="007F64C5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., кандидат </w:t>
      </w:r>
      <w:r w:rsidR="007F64C5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технічних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наук, доцент, доцент кафедри інформаційних та комп’ютерних технологій Київського національного університету технологій та дизайну</w:t>
      </w:r>
    </w:p>
    <w:p w:rsidR="00895209" w:rsidRPr="00720CC1" w:rsidRDefault="0063595A">
      <w:pPr>
        <w:ind w:left="0" w:right="281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(ПІБ, науковий ступінь, вчене звання, посада )</w:t>
      </w:r>
    </w:p>
    <w:p w:rsidR="00895209" w:rsidRPr="00720CC1" w:rsidRDefault="0063595A">
      <w:pPr>
        <w:ind w:left="0" w:right="281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Члени робочої групи: </w:t>
      </w:r>
    </w:p>
    <w:p w:rsidR="00895209" w:rsidRPr="00720CC1" w:rsidRDefault="0063595A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F64C5"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Пилипенко Ю.М., кандидат фізико-математичних наук, доцент, доцент кафедри інформаційних та комп’ютерних технологій Київського національного університету технологій та дизайну</w:t>
      </w:r>
    </w:p>
    <w:p w:rsidR="00895209" w:rsidRPr="00720CC1" w:rsidRDefault="0063595A">
      <w:pPr>
        <w:ind w:left="0" w:right="281" w:hanging="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>(ПІБ, науковий ступінь, вчене звання, посада )</w:t>
      </w:r>
    </w:p>
    <w:p w:rsidR="00895209" w:rsidRPr="00720CC1" w:rsidRDefault="0063595A">
      <w:pPr>
        <w:ind w:left="0" w:right="281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Дроменко.В.Б.,кандидат</w:t>
      </w:r>
      <w:proofErr w:type="spellEnd"/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технічних наук, доцент, доцент кафедри інформаційних та комп’ютерних технологій Київського національного університету технологій та дизайну</w:t>
      </w:r>
    </w:p>
    <w:p w:rsidR="00895209" w:rsidRPr="00720CC1" w:rsidRDefault="0063595A">
      <w:pPr>
        <w:ind w:left="0" w:right="281" w:hanging="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>(ПІБ, науковий ступінь, вчене звання, посада )</w:t>
      </w:r>
    </w:p>
    <w:p w:rsidR="00895209" w:rsidRPr="00720CC1" w:rsidRDefault="00895209">
      <w:pPr>
        <w:ind w:left="0" w:right="281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895209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95209" w:rsidRPr="00720CC1" w:rsidRDefault="0063595A">
      <w:pPr>
        <w:spacing w:before="240" w:after="24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РЕЦЕНЗІЇ ЗОВНІШНІХ СТЕЙКХОЛДЕРІВ</w:t>
      </w: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895209" w:rsidRPr="00720CC1" w:rsidRDefault="0063595A">
      <w:pPr>
        <w:spacing w:before="240" w:after="24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95209" w:rsidRPr="00720CC1" w:rsidRDefault="0063595A">
      <w:pPr>
        <w:spacing w:before="240" w:after="240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1)</w:t>
      </w:r>
      <w:r w:rsidRPr="00720CC1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Михалко Роман </w:t>
      </w:r>
      <w:proofErr w:type="spellStart"/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Олесандрович</w:t>
      </w:r>
      <w:proofErr w:type="spellEnd"/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  директор, ТОВ «Український Науковий Інститут Сертифікації»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;</w:t>
      </w:r>
    </w:p>
    <w:p w:rsidR="00895209" w:rsidRPr="00720CC1" w:rsidRDefault="0063595A">
      <w:pPr>
        <w:spacing w:before="240" w:after="24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2)</w:t>
      </w:r>
      <w:r w:rsidRPr="00720CC1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</w:t>
      </w:r>
      <w:proofErr w:type="spellStart"/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Володін</w:t>
      </w:r>
      <w:proofErr w:type="spellEnd"/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Сергій Олексійович, заступник генерального директора ТОВ «</w:t>
      </w:r>
      <w:proofErr w:type="spellStart"/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Сamozzi</w:t>
      </w:r>
      <w:proofErr w:type="spellEnd"/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»;</w:t>
      </w:r>
    </w:p>
    <w:p w:rsidR="00895209" w:rsidRPr="00720CC1" w:rsidRDefault="0063595A">
      <w:pPr>
        <w:spacing w:before="240" w:after="24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3)</w:t>
      </w:r>
      <w:r w:rsidRPr="00720CC1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Іванова Людмила Іванівна, директор ТОВ «ДАНА-МОДА»;</w:t>
      </w:r>
    </w:p>
    <w:p w:rsidR="00895209" w:rsidRPr="00720CC1" w:rsidRDefault="0063595A">
      <w:pPr>
        <w:spacing w:before="240" w:after="24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4)</w:t>
      </w:r>
      <w:r w:rsidRPr="00720CC1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Мельников Олександр Михайлович, директор ТОВ «АВТОМАТИКА»;</w:t>
      </w:r>
    </w:p>
    <w:p w:rsidR="00895209" w:rsidRPr="00720CC1" w:rsidRDefault="0063595A">
      <w:pPr>
        <w:spacing w:before="240" w:after="24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5)</w:t>
      </w:r>
      <w:r w:rsidRPr="00720CC1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Приходько Віктор Сергійович, директор ТОВ «РЗА СІСТЕМЗ».</w:t>
      </w:r>
    </w:p>
    <w:p w:rsidR="00895209" w:rsidRPr="00720CC1" w:rsidRDefault="00895209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895209" w:rsidRPr="00720CC1" w:rsidRDefault="0063595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CC1">
        <w:rPr>
          <w:lang w:val="uk-UA"/>
        </w:rPr>
        <w:br w:type="page"/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1. Профіль освітньо-професійної програми </w:t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</w:p>
    <w:tbl>
      <w:tblPr>
        <w:tblStyle w:val="afff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850"/>
        <w:gridCol w:w="113"/>
        <w:gridCol w:w="6663"/>
      </w:tblGrid>
      <w:tr w:rsidR="00720CC1" w:rsidRPr="00720CC1">
        <w:trPr>
          <w:trHeight w:val="106"/>
        </w:trPr>
        <w:tc>
          <w:tcPr>
            <w:tcW w:w="9606" w:type="dxa"/>
            <w:gridSpan w:val="5"/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– Загальна інформація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663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інформаційних та комп’ютерних технологій</w:t>
            </w:r>
          </w:p>
        </w:tc>
      </w:tr>
      <w:tr w:rsidR="00720CC1" w:rsidRPr="00720CC1">
        <w:trPr>
          <w:trHeight w:val="1395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вищої освіти – другий (магістерський).</w:t>
            </w:r>
          </w:p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Ступінь вищої освіти – магістр.</w:t>
            </w:r>
          </w:p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Галузь знань – 1</w:t>
            </w:r>
            <w:r w:rsidR="007F64C5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64C5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Електроніка, автоматизація та електронні комунікації</w:t>
            </w:r>
          </w:p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 – 1</w:t>
            </w:r>
            <w:r w:rsidR="007F64C5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49FC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Автоматизація, комп’ютерно-інтегровані технології та робототехніка</w:t>
            </w:r>
            <w:r w:rsidR="007F64C5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робототехніка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20CC1" w:rsidRPr="00720CC1" w:rsidTr="008359DA">
        <w:trPr>
          <w:trHeight w:val="968"/>
        </w:trPr>
        <w:tc>
          <w:tcPr>
            <w:tcW w:w="2943" w:type="dxa"/>
            <w:gridSpan w:val="4"/>
          </w:tcPr>
          <w:p w:rsidR="008359DA" w:rsidRPr="00720CC1" w:rsidRDefault="008359DA" w:rsidP="0083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8359DA" w:rsidRPr="00720CC1" w:rsidRDefault="008359DA" w:rsidP="0083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 назва кваліфікації</w:t>
            </w:r>
          </w:p>
          <w:p w:rsidR="008359DA" w:rsidRPr="00720CC1" w:rsidRDefault="008359DA" w:rsidP="0083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мовою оригіналу</w:t>
            </w:r>
          </w:p>
        </w:tc>
        <w:tc>
          <w:tcPr>
            <w:tcW w:w="6663" w:type="dxa"/>
          </w:tcPr>
          <w:p w:rsidR="008359DA" w:rsidRPr="00720CC1" w:rsidRDefault="008359DA" w:rsidP="0083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Ступінь вищої освіти – магістр.</w:t>
            </w:r>
          </w:p>
          <w:p w:rsidR="008359DA" w:rsidRPr="00720CC1" w:rsidRDefault="008359DA" w:rsidP="0083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Магістр автоматизації та комп’ютерно-інтегрованих технологічних процесів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663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Диплом магістра, одиничний, 90 кредитів ЄКТС.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663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про акредитацію освітньої програми від 25.02.2019 р.  УД № 11010022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Цикл/рівень</w:t>
            </w:r>
            <w:r w:rsidRPr="00720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663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рамка кваліфікацій України – сьомий рівень.</w:t>
            </w:r>
            <w:r w:rsidRPr="00720CC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663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Ступінь бакалавра.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663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663" w:type="dxa"/>
            <w:vAlign w:val="center"/>
          </w:tcPr>
          <w:p w:rsidR="00895209" w:rsidRPr="00720CC1" w:rsidRDefault="0063595A" w:rsidP="007C2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 липня 202</w:t>
            </w:r>
            <w:r w:rsidR="007C2F23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720CC1" w:rsidRPr="00720CC1">
        <w:trPr>
          <w:trHeight w:val="106"/>
        </w:trPr>
        <w:tc>
          <w:tcPr>
            <w:tcW w:w="2943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79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</w:tcPr>
          <w:p w:rsidR="00895209" w:rsidRPr="00720CC1" w:rsidRDefault="0072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>
              <w:r w:rsidR="0063595A" w:rsidRPr="00720CC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/>
                </w:rPr>
                <w:t>http://knutd.edu.ua/ekts/</w:t>
              </w:r>
            </w:hyperlink>
          </w:p>
        </w:tc>
      </w:tr>
      <w:tr w:rsidR="00720CC1" w:rsidRPr="00720CC1">
        <w:tc>
          <w:tcPr>
            <w:tcW w:w="9606" w:type="dxa"/>
            <w:gridSpan w:val="5"/>
            <w:tcBorders>
              <w:top w:val="nil"/>
            </w:tcBorders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 – Мета освітньої програми</w:t>
            </w:r>
          </w:p>
        </w:tc>
      </w:tr>
      <w:tr w:rsidR="00720CC1" w:rsidRPr="00720CC1">
        <w:tc>
          <w:tcPr>
            <w:tcW w:w="9606" w:type="dxa"/>
            <w:gridSpan w:val="5"/>
          </w:tcPr>
          <w:p w:rsidR="00895209" w:rsidRPr="00720CC1" w:rsidRDefault="0063595A" w:rsidP="006F4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галузі комп’ютерно-інтегрованих </w:t>
            </w:r>
            <w:r w:rsidR="006F442A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технологій та </w:t>
            </w:r>
            <w:proofErr w:type="spellStart"/>
            <w:r w:rsidR="006F442A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роботехнічних</w:t>
            </w:r>
            <w:proofErr w:type="spellEnd"/>
            <w:r w:rsidR="006F442A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що направлено на здобуття навиків для здійснення наукових досліджень проблем з автоматизації </w:t>
            </w:r>
            <w:r w:rsidR="006F442A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технологічних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процесів, теоретичного обґрунтування автоматизованого керування на виробництві та здійснення наукової діяльності в напрямах, що потребують новітніх розробок стосовно вдосконалення існуючих комп’ютерно-інтегрованих автоматизованих систем керування. Основними цілями програми є: підготовка інженерів, здатних до комплексного розв’язання складних задач і проблем створення, вдосконалення, модернізації, експлуатації та супроводження систем автоматизації, їх компонентів,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систем, технологій цифрової трансформації, що стоять за завданнями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4.0, сприяють процесу швидкої адаптації продукції та послуг підприємств і компаній, а також забезпечують перехід від фізичного світу до цифрового.</w:t>
            </w:r>
          </w:p>
        </w:tc>
      </w:tr>
      <w:tr w:rsidR="00720CC1" w:rsidRPr="00720CC1">
        <w:tc>
          <w:tcPr>
            <w:tcW w:w="9606" w:type="dxa"/>
            <w:gridSpan w:val="5"/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 – Характеристика освітньої програми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Предметна область</w:t>
            </w: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6" w:type="dxa"/>
            <w:gridSpan w:val="3"/>
          </w:tcPr>
          <w:p w:rsidR="00686720" w:rsidRPr="00720CC1" w:rsidRDefault="00686720" w:rsidP="006867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Комп’ютерно-інтегровані технологічні процеси та виробництва </w:t>
            </w:r>
          </w:p>
          <w:p w:rsidR="00686720" w:rsidRPr="00720CC1" w:rsidRDefault="00686720" w:rsidP="006867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 Електроніка, автоматизація та електронні комунікації </w:t>
            </w:r>
          </w:p>
          <w:p w:rsidR="00686720" w:rsidRPr="00720CC1" w:rsidRDefault="00686720" w:rsidP="0068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174 Автоматизація, комп’ютерно-інтегровані технології та робототехніка </w:t>
            </w:r>
          </w:p>
          <w:p w:rsidR="006E3E09" w:rsidRPr="00720CC1" w:rsidRDefault="006E3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Об’єктами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та діяльності магістрів із автоматизації</w:t>
            </w:r>
            <w:r w:rsidR="008B2845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комп’ютерно-інтегрованих технологічних процесів </w:t>
            </w:r>
            <w:r w:rsidR="008B2845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робототехніки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є: об’єкти і процеси керування (технологічні процеси, виробництва, організаційні структури), технічне, інформаційне, математичне, програмне та організаційне забезпечення систем автоматизації та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робототехніки у різних галузях, зокрема легкої та хімічної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промисловостях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C2F23" w:rsidRPr="00720CC1" w:rsidRDefault="007C2F23" w:rsidP="007C2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Цілі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навчання: підготовка інженерів і науковців, здатних до комплексного розв’язання складних задач і проблем створення, вдосконалення, модернізації, експлуатації та супроводження систем автоматизації, їх компонентів,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систем, </w:t>
            </w:r>
            <w:proofErr w:type="spellStart"/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комплексів,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технологій цифрової трансформації, що стоять за завданнями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4.0, сприяють процесу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швидкої адаптації продукції та послуг підприємств та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компаній, а також забезпечують перехід від фізичного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світу до цифрового.</w:t>
            </w:r>
          </w:p>
          <w:p w:rsidR="007C2F23" w:rsidRPr="00720CC1" w:rsidRDefault="007C2F23" w:rsidP="007C2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Теоретичний зміст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предметної області: поняття та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принципи теорії автоматичного керування, принципи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розроблення систем автоматизації та комп’ютерно-інтегрованих технологій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робототехніки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C2F23" w:rsidRPr="00720CC1" w:rsidRDefault="007C2F23" w:rsidP="007C2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Методи, методики та технології.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аналізу, синтезу,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проектування, налагодження, модернізації, експлуатації та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супроводження систем автоматизації та комп’ютерно-інтегрованих технологій,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гнучких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виробництв;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методологія нау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ових досліджень об’єктів керування та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 автоматизації складних організаційно-технічних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об’єктів.</w:t>
            </w:r>
          </w:p>
          <w:p w:rsidR="007C2F23" w:rsidRPr="00720CC1" w:rsidRDefault="007C2F23" w:rsidP="007C2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Інструменти та обладнання.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Цифрові та мережеві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технології, мікропроцесори, програмовані логічні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контролери (PLC), вбудовані цифрові пристрої та системи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Embedded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Systems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), інтелектуальні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мехатронні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WLAN-сумісні компоненти технології Інтернету речей (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ІоТ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спеціалізоване програмне забезпечення для проектування,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розроблення і експлуатації систем автоматизації.</w:t>
            </w:r>
          </w:p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орієнтована на формування у здобувачів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набуття глибоких знань, умінь та навичок зі спеціальності.</w:t>
            </w:r>
            <w:r w:rsidR="007C2F23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95209" w:rsidRPr="00720CC1" w:rsidRDefault="0063595A" w:rsidP="006867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Обов’язкові навчальні освітні компоненти – 73%, з них: дисципліни загальної підготовки – 7 %, професійної підготовки –  27%, практична підготовка – 16%, вивчення іноземної мови – 4%, дипломне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23%. Дисципліни вільного вибору студента – 27% (обираються із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каталогу відповідно до затвердженої процедури в Університеті).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Освітньо-професійна програма підготовки магістра.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Основний фокус освітньої програми </w:t>
            </w:r>
          </w:p>
        </w:tc>
        <w:tc>
          <w:tcPr>
            <w:tcW w:w="7626" w:type="dxa"/>
            <w:gridSpan w:val="3"/>
          </w:tcPr>
          <w:p w:rsidR="00895209" w:rsidRPr="00720CC1" w:rsidRDefault="0063595A" w:rsidP="0068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Акцент робиться на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створення високотехнологічних, ефективних комп’ютерно-інтегрованих систем автоматизації для керування процесами виробництва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робототехнічними</w:t>
            </w:r>
            <w:proofErr w:type="spellEnd"/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комплексами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для отримання конкурентоспроможної продукції галузі. 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Особливості  освітньої програми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програма розвиває практичну підготовку в області комп’ютерно-інтегрованих технологічних процесів та виробництв і виконується в активному дослідницькому середовищі. Програма орієнтується на сучасні наукові дослідження в галузі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моделювання різних комп’ютерно-інтегрованих систем автоматизації</w:t>
            </w:r>
            <w:r w:rsidR="00686720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робототехніки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враховує специфіку роботи підприємств легкої</w:t>
            </w:r>
            <w:r w:rsidR="00EF49FC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хімічної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промисловості різної потужності</w:t>
            </w:r>
            <w:r w:rsidR="00EF49FC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індустрії дизайну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освітніх установ.</w:t>
            </w:r>
          </w:p>
        </w:tc>
      </w:tr>
      <w:tr w:rsidR="00720CC1" w:rsidRPr="00720CC1">
        <w:tc>
          <w:tcPr>
            <w:tcW w:w="9606" w:type="dxa"/>
            <w:gridSpan w:val="5"/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 – Придатність випускників до працевлаштування та  подальшого навчання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Випускник є придатним для працевлаштування на підприємствах з різними автоматизованими лініями виробництва, в організаціях та установах, де застосовується комп’ютерна техніка.</w:t>
            </w:r>
          </w:p>
          <w:p w:rsidR="0026787A" w:rsidRPr="00720CC1" w:rsidRDefault="0026787A" w:rsidP="0026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Магістр 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автоматизації, комп’ютерно-інтегрованих технологій та робототехніки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може працювати за професіями згідно з Національним класифікатором професій ДК 003:2010: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2131.2 Інженер з автоматизованих систем керування виробництвом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2131.2 Інженер з комп'ютерних систем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2131.2 Інженер з програмного забезпечення комп'ютерів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2132.2 Інженер-дослідник з комп’ютеризованих систем та автоматики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2139.2 Інженер із застосування комп'ютерів 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2143.1 Молодший науковий співробітник (електротехніка)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2143.2 Інженер з релейного захисту і електроавтоматики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2143.2 Інженер-конструктор (електротехніка)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2144.2 Інженер інформаційно-телекомунікаційних систем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2144.2 Інженер інформаційно-телекомунікаційних технологій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2145.2 Інженер з механізації та автоматизації виробничих процесів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2145.2 Молодший інженер з механізації та автоматизації виробничих процесів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2147.2 Інженер з технічної діагностики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2149.1 Молодший науковий співробітник (галузь інженерної справи)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2149.2 Інженер з керування й обслуговування систем 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2149.2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Мехатронік</w:t>
            </w:r>
            <w:proofErr w:type="spellEnd"/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2149.2 Інженер із впровадження нової техніки й технології</w:t>
            </w:r>
          </w:p>
          <w:p w:rsidR="0026787A" w:rsidRPr="00720CC1" w:rsidRDefault="0026787A" w:rsidP="00A972C4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2359.1 Молодший науковий співробітник (в інших галузях навчання)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Подальше навчання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-науковою програмою третього (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-наукового) рівня вищої освіти (доктор філософії).</w:t>
            </w:r>
          </w:p>
        </w:tc>
      </w:tr>
      <w:tr w:rsidR="00720CC1" w:rsidRPr="00720CC1">
        <w:tc>
          <w:tcPr>
            <w:tcW w:w="9606" w:type="dxa"/>
            <w:gridSpan w:val="5"/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проблемноорієнтоване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навчання, навчання через науково-дослідну, переддипломну практичну підготовку та самонавчання. Система методів навчання базується на принципах цілеспрямованості,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бінарності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Форми організації освітнього процесу: лекція, практичне, лабораторне заняття, практична підготовка, самостійна робота, консультація, розробка фахового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Тести, презентації, звіти лабораторних і практичних робіт, звіти з практики, контрольні роботи, курсова (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робота, розрахунково-графічна робота, заліки, екзамени, дипломна магістерська робота.</w:t>
            </w:r>
          </w:p>
        </w:tc>
      </w:tr>
      <w:tr w:rsidR="00720CC1" w:rsidRPr="00720CC1">
        <w:trPr>
          <w:trHeight w:val="106"/>
        </w:trPr>
        <w:tc>
          <w:tcPr>
            <w:tcW w:w="9606" w:type="dxa"/>
            <w:gridSpan w:val="5"/>
            <w:tcBorders>
              <w:top w:val="nil"/>
            </w:tcBorders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6 – Програмні компетентності </w:t>
            </w:r>
          </w:p>
        </w:tc>
      </w:tr>
      <w:tr w:rsidR="00720CC1" w:rsidRPr="00720CC1" w:rsidTr="00A972C4">
        <w:trPr>
          <w:trHeight w:val="106"/>
        </w:trPr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Інтегральна компетентність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(ІК)</w:t>
            </w:r>
            <w:r w:rsidRPr="00720CC1">
              <w:rPr>
                <w:lang w:val="uk-UA"/>
              </w:rPr>
              <w:t xml:space="preserve"> </w:t>
            </w:r>
          </w:p>
        </w:tc>
        <w:tc>
          <w:tcPr>
            <w:tcW w:w="7626" w:type="dxa"/>
            <w:gridSpan w:val="3"/>
          </w:tcPr>
          <w:p w:rsidR="00686720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розв’язувати складні задачі і проблеми автоматизації та комп’ютерно-інтегрованих технологій у професійній діяльності та/або у процесі навчання, що передбачає проведення досліджень та/або провадження інноваційної діяльності та характеризується комплексністю та невизначеністю умов і вимог.</w:t>
            </w:r>
          </w:p>
        </w:tc>
      </w:tr>
      <w:tr w:rsidR="00720CC1" w:rsidRPr="00720CC1" w:rsidTr="00A972C4">
        <w:trPr>
          <w:cantSplit/>
        </w:trPr>
        <w:tc>
          <w:tcPr>
            <w:tcW w:w="1980" w:type="dxa"/>
            <w:gridSpan w:val="2"/>
            <w:vMerge w:val="restart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компетентності</w:t>
            </w:r>
          </w:p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ЗК)</w:t>
            </w:r>
          </w:p>
        </w:tc>
        <w:tc>
          <w:tcPr>
            <w:tcW w:w="85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776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проведення досліджень на відповідному рівні.</w:t>
            </w:r>
          </w:p>
        </w:tc>
      </w:tr>
      <w:tr w:rsidR="00720CC1" w:rsidRPr="00720CC1" w:rsidTr="00A972C4">
        <w:trPr>
          <w:cantSplit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776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720CC1" w:rsidRPr="00720CC1" w:rsidTr="00A972C4">
        <w:trPr>
          <w:cantSplit/>
          <w:trHeight w:val="270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776" w:type="dxa"/>
            <w:gridSpan w:val="2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720CC1" w:rsidRPr="00720CC1" w:rsidTr="00A972C4">
        <w:trPr>
          <w:cantSplit/>
          <w:trHeight w:val="140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720CC1" w:rsidRPr="00720CC1" w:rsidTr="00A972C4">
        <w:trPr>
          <w:cantSplit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776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720CC1" w:rsidRPr="00720CC1" w:rsidTr="00A972C4">
        <w:trPr>
          <w:cantSplit/>
        </w:trPr>
        <w:tc>
          <w:tcPr>
            <w:tcW w:w="1980" w:type="dxa"/>
            <w:gridSpan w:val="2"/>
            <w:vMerge w:val="restart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Фахові компетентності (ФК)</w:t>
            </w: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6776" w:type="dxa"/>
            <w:gridSpan w:val="2"/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здійснювати автоматизацію складних технологічних об’єктів та комплексів, створювати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кіберфізичні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системи на основі інтелектуальних методів управління та цифрових технологій з використанням баз даних, баз знань, методів штучного інтелекту,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720CC1" w:rsidRPr="00720CC1" w:rsidTr="00A972C4">
        <w:trPr>
          <w:cantSplit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6776" w:type="dxa"/>
            <w:gridSpan w:val="2"/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проєктувати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впроваджувати високонадійні системи автоматизації та їх прикладне програмне забезпечення, для реалізації функцій управління та опрацювання інформації, здійснювати захист прав інтелектуальної власності на нові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інженерні рішення.</w:t>
            </w:r>
          </w:p>
        </w:tc>
      </w:tr>
      <w:tr w:rsidR="00720CC1" w:rsidRPr="00720CC1" w:rsidTr="00A972C4">
        <w:trPr>
          <w:cantSplit/>
          <w:trHeight w:val="240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6776" w:type="dxa"/>
            <w:gridSpan w:val="2"/>
            <w:tcBorders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застосовувати методи моделювання та оптимізації для дослідження та підвищення ефективності систем і процесів керування складними технологічними та організаційно-технічними об’єктами.</w:t>
            </w:r>
          </w:p>
        </w:tc>
      </w:tr>
      <w:tr w:rsidR="00720CC1" w:rsidRPr="00720CC1" w:rsidTr="00A972C4">
        <w:trPr>
          <w:cantSplit/>
          <w:trHeight w:val="105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аналізувати виробничо-технологічні системи і комплекси як об’єкти автоматизації, визначати способи та стратегії їх автоматизації та цифрової трансформації.</w:t>
            </w:r>
          </w:p>
        </w:tc>
      </w:tr>
      <w:tr w:rsidR="00720CC1" w:rsidRPr="00720CC1" w:rsidTr="00A972C4">
        <w:trPr>
          <w:cantSplit/>
          <w:trHeight w:val="405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інтегрувати знання з інших галузей, застосовувати системний підхід та враховувати нетехнічні аспекти при розв’язанні інженерних задач та проведенні наукових досліджень.</w:t>
            </w:r>
          </w:p>
        </w:tc>
      </w:tr>
      <w:tr w:rsidR="00720CC1" w:rsidRPr="00720CC1" w:rsidTr="00A972C4">
        <w:trPr>
          <w:cantSplit/>
          <w:trHeight w:val="285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застосовувати сучасні методи теорії автоматичного керування для розроблення автоматизованих систем управління технологічними процесами та об’єктами.</w:t>
            </w:r>
          </w:p>
        </w:tc>
      </w:tr>
      <w:tr w:rsidR="00720CC1" w:rsidRPr="00720CC1" w:rsidTr="00A972C4">
        <w:trPr>
          <w:cantSplit/>
          <w:trHeight w:val="330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застосовувати спеціалізоване програмне забезпечення та цифрові технології для розв’язання складних задач і проблем автоматизації та комп’ютерно-інтегрованих технологій.</w:t>
            </w:r>
          </w:p>
        </w:tc>
      </w:tr>
      <w:tr w:rsidR="00720CC1" w:rsidRPr="00720CC1" w:rsidTr="00A972C4">
        <w:trPr>
          <w:cantSplit/>
          <w:trHeight w:val="255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розробляти функціональну, технічну та інформаційну структуру комп’ютерно-інтегрованих систем управління організаційно-технологічними комплексами із застосуванням мережевих та інформаційних технологій, програмно-технічних керуючих комплексів, промислових контролерів,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компонентів,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пристроїв та засобів людино-машинного інтерфейсу.</w:t>
            </w:r>
          </w:p>
        </w:tc>
      </w:tr>
      <w:tr w:rsidR="00720CC1" w:rsidRPr="00720CC1" w:rsidTr="00A972C4">
        <w:trPr>
          <w:cantSplit/>
          <w:trHeight w:val="518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ФК9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Оволодіння практичними навичками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комп’ютерно-інтегрованих систем керування.</w:t>
            </w:r>
          </w:p>
        </w:tc>
      </w:tr>
      <w:tr w:rsidR="00720CC1" w:rsidRPr="00720CC1" w:rsidTr="00A972C4">
        <w:trPr>
          <w:cantSplit/>
          <w:trHeight w:val="630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ФК10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продемонструвати знання щодо обладнання та автоматизації технологічних процесів галузі.</w:t>
            </w:r>
          </w:p>
        </w:tc>
      </w:tr>
      <w:tr w:rsidR="00720CC1" w:rsidRPr="00720CC1" w:rsidTr="00A972C4">
        <w:trPr>
          <w:cantSplit/>
          <w:trHeight w:val="307"/>
        </w:trPr>
        <w:tc>
          <w:tcPr>
            <w:tcW w:w="1980" w:type="dxa"/>
            <w:gridSpan w:val="2"/>
            <w:vMerge/>
          </w:tcPr>
          <w:p w:rsidR="00895209" w:rsidRPr="00720CC1" w:rsidRDefault="0089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6720" w:rsidRPr="00720CC1" w:rsidRDefault="0063595A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здійснювати захист прав інтелектуальної власності, комерціалізацію  результатів науково-дослідної діяльності.</w:t>
            </w:r>
          </w:p>
        </w:tc>
      </w:tr>
      <w:tr w:rsidR="00720CC1" w:rsidRPr="00720CC1">
        <w:tc>
          <w:tcPr>
            <w:tcW w:w="9606" w:type="dxa"/>
            <w:gridSpan w:val="5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7 – Програмні результати навчання </w:t>
            </w:r>
          </w:p>
        </w:tc>
      </w:tr>
      <w:tr w:rsidR="00720CC1" w:rsidRPr="00720CC1">
        <w:trPr>
          <w:trHeight w:val="20"/>
        </w:trPr>
        <w:tc>
          <w:tcPr>
            <w:tcW w:w="9606" w:type="dxa"/>
            <w:gridSpan w:val="5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Знання та розуміння:</w:t>
            </w:r>
          </w:p>
        </w:tc>
      </w:tr>
      <w:tr w:rsidR="00720CC1" w:rsidRPr="00720CC1" w:rsidTr="00686720">
        <w:trPr>
          <w:trHeight w:val="20"/>
        </w:trPr>
        <w:tc>
          <w:tcPr>
            <w:tcW w:w="9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8618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Знати і розуміти основи побудови систем автоматизації, баз цифрових мережевих технологій.</w:t>
            </w:r>
          </w:p>
        </w:tc>
      </w:tr>
      <w:tr w:rsidR="00720CC1" w:rsidRPr="00720CC1" w:rsidTr="00686720">
        <w:trPr>
          <w:trHeight w:val="20"/>
        </w:trPr>
        <w:tc>
          <w:tcPr>
            <w:tcW w:w="9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8618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Знати методи побудови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720CC1" w:rsidRPr="00720CC1">
        <w:trPr>
          <w:trHeight w:val="20"/>
        </w:trPr>
        <w:tc>
          <w:tcPr>
            <w:tcW w:w="9606" w:type="dxa"/>
            <w:gridSpan w:val="5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Застосування знань та розумінь (уміння): </w:t>
            </w:r>
          </w:p>
        </w:tc>
      </w:tr>
      <w:tr w:rsidR="00720CC1" w:rsidRPr="00720CC1" w:rsidTr="00686720">
        <w:trPr>
          <w:trHeight w:val="20"/>
        </w:trPr>
        <w:tc>
          <w:tcPr>
            <w:tcW w:w="9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8618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Створювати системи автоматизації,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кіберфізичні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виробництва на основі використання інтелектуальних методів управління, баз даних та баз знань, цифрових та мережевих технологій,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720CC1" w:rsidRPr="00720CC1" w:rsidTr="00686720">
        <w:trPr>
          <w:trHeight w:val="20"/>
        </w:trPr>
        <w:tc>
          <w:tcPr>
            <w:tcW w:w="9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8618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Створювати високонадійні системи автоматизації з високим рівнем функціональної та інформаційної безпеки програмних та технічних засобів.</w:t>
            </w:r>
          </w:p>
        </w:tc>
      </w:tr>
      <w:tr w:rsidR="00720CC1" w:rsidRPr="00720CC1" w:rsidTr="00686720">
        <w:trPr>
          <w:trHeight w:val="20"/>
        </w:trPr>
        <w:tc>
          <w:tcPr>
            <w:tcW w:w="988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ПРН 5</w:t>
            </w:r>
          </w:p>
        </w:tc>
        <w:tc>
          <w:tcPr>
            <w:tcW w:w="8618" w:type="dxa"/>
            <w:gridSpan w:val="4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Застосовувати спеціалізовані концептуальні знання, що включають сучасні наукові здобутки, а також критичне осмислення сучасних проблем у сфері автоматизації та комп’ютерно-інтегрованих технологій для розв’язування складних задач професійної діяльності.</w:t>
            </w:r>
          </w:p>
        </w:tc>
      </w:tr>
      <w:tr w:rsidR="00720CC1" w:rsidRPr="00720CC1" w:rsidTr="00686720">
        <w:trPr>
          <w:trHeight w:val="111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Застосовувати сучасні підходи і методи моделювання та оптимізації для дослідження та створення ефективних систем автоматизації складними технологічними та організаційно-технічними об’єктами.</w:t>
            </w:r>
          </w:p>
        </w:tc>
      </w:tr>
      <w:tr w:rsidR="00720CC1" w:rsidRPr="00720CC1" w:rsidTr="00686720">
        <w:trPr>
          <w:trHeight w:val="150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Розробляти комп’ютерно-інтегровані системи управління складними технологічними та організаційно-технічними об’єктами, застосовуючи системний підхід із врахуванням нетехнічних складових оцінки об’єктів автоматизації.</w:t>
            </w:r>
          </w:p>
        </w:tc>
      </w:tr>
      <w:tr w:rsidR="00720CC1" w:rsidRPr="00720CC1" w:rsidTr="00686720">
        <w:trPr>
          <w:trHeight w:val="9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Аналізувати виробничо-технічні системи у певній галузі діяльності як об’єкти автоматизації і визначати стратегію їх автоматизації та цифрової трансформації.</w:t>
            </w:r>
          </w:p>
        </w:tc>
      </w:tr>
      <w:tr w:rsidR="00720CC1" w:rsidRPr="00720CC1" w:rsidTr="00686720">
        <w:trPr>
          <w:trHeight w:val="180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сучасні математичні методи, методи теорії автоматичного керування, теорії надійності та системного аналізу для дослідження та створення систем автоматизації складними технологічними та організаційно-технічними об’єктами,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виробництв.</w:t>
            </w:r>
          </w:p>
        </w:tc>
      </w:tr>
      <w:tr w:rsidR="00720CC1" w:rsidRPr="00720CC1" w:rsidTr="00686720">
        <w:trPr>
          <w:trHeight w:val="180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Розробляти функціональну, організаційну, технічну та інформаційну структури систем автоматизації складними технологічними та організаційно-технічними об’єктами, розробляти програмно-технічні керуючі комплекси із застосовуванням мережевих та інформаційних технологій, промислових контролерів,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компонентів,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пристроїв, засобів людино-машинного інтерфейсу та з урахуванням технологічних умов та вимог до управління виробництвом.</w:t>
            </w:r>
          </w:p>
        </w:tc>
      </w:tr>
      <w:tr w:rsidR="00720CC1" w:rsidRPr="00720CC1" w:rsidTr="00686720">
        <w:trPr>
          <w:trHeight w:val="1125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володіти спеціальними програмними засобами.</w:t>
            </w:r>
          </w:p>
        </w:tc>
      </w:tr>
      <w:tr w:rsidR="00720CC1" w:rsidRPr="00720CC1" w:rsidTr="00686720">
        <w:trPr>
          <w:trHeight w:val="232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діяльності.</w:t>
            </w:r>
          </w:p>
        </w:tc>
      </w:tr>
      <w:tr w:rsidR="00720CC1" w:rsidRPr="00720CC1" w:rsidTr="00686720">
        <w:trPr>
          <w:trHeight w:val="270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Збирати необхідну інформацію, використовуючи науково-технічну літературу, бази даних та інші джерела, аналізувати і оцінювати її.</w:t>
            </w:r>
          </w:p>
        </w:tc>
      </w:tr>
      <w:tr w:rsidR="00720CC1" w:rsidRPr="00720CC1">
        <w:trPr>
          <w:trHeight w:val="20"/>
        </w:trPr>
        <w:tc>
          <w:tcPr>
            <w:tcW w:w="9606" w:type="dxa"/>
            <w:gridSpan w:val="5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Формування суджень: </w:t>
            </w:r>
          </w:p>
        </w:tc>
      </w:tr>
      <w:tr w:rsidR="00720CC1" w:rsidRPr="00720CC1" w:rsidTr="00686720">
        <w:trPr>
          <w:trHeight w:val="20"/>
        </w:trPr>
        <w:tc>
          <w:tcPr>
            <w:tcW w:w="9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8618" w:type="dxa"/>
            <w:gridSpan w:val="4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Формувати та правильно інтерпретувати отриману вимірювальну інформацію про технологічні параметри на виробництві для прийняття оперативних рішень.</w:t>
            </w:r>
          </w:p>
        </w:tc>
      </w:tr>
      <w:tr w:rsidR="00720CC1" w:rsidRPr="00720CC1" w:rsidTr="00686720">
        <w:trPr>
          <w:trHeight w:val="20"/>
        </w:trPr>
        <w:tc>
          <w:tcPr>
            <w:tcW w:w="9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8618" w:type="dxa"/>
            <w:gridSpan w:val="4"/>
          </w:tcPr>
          <w:p w:rsidR="00686720" w:rsidRPr="00720CC1" w:rsidRDefault="0063595A" w:rsidP="00686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20CC1" w:rsidRPr="00720CC1">
        <w:tc>
          <w:tcPr>
            <w:tcW w:w="9606" w:type="dxa"/>
            <w:gridSpan w:val="5"/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інноваційної/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творчої роботи та/або роботи за фахом.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972C4" w:rsidRPr="00720CC1" w:rsidRDefault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>
        <w:tc>
          <w:tcPr>
            <w:tcW w:w="9606" w:type="dxa"/>
            <w:gridSpan w:val="5"/>
            <w:shd w:val="clear" w:color="auto" w:fill="D9D9D9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 – Академічна мобільність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20CC1" w:rsidRPr="00720CC1" w:rsidTr="00A972C4"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програмах академічної мобільності за кордоном. </w:t>
            </w:r>
          </w:p>
        </w:tc>
      </w:tr>
      <w:tr w:rsidR="00895209" w:rsidRPr="00720CC1" w:rsidTr="00A972C4">
        <w:trPr>
          <w:trHeight w:val="750"/>
        </w:trPr>
        <w:tc>
          <w:tcPr>
            <w:tcW w:w="1980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626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  <w:p w:rsidR="00895209" w:rsidRPr="00720CC1" w:rsidRDefault="0089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209" w:rsidRPr="00720CC1" w:rsidRDefault="0063595A" w:rsidP="008B2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Перелік компонентів освітньо-професійної програми та їх логічна послідовність</w:t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>2.1. Перелік компонентів освітньо-професійної програми другого (магістерського) рівня вищої освіти</w:t>
      </w:r>
    </w:p>
    <w:tbl>
      <w:tblPr>
        <w:tblStyle w:val="a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5966"/>
        <w:gridCol w:w="137"/>
        <w:gridCol w:w="1040"/>
        <w:gridCol w:w="1516"/>
      </w:tblGrid>
      <w:tr w:rsidR="00720CC1" w:rsidRPr="00720CC1">
        <w:tc>
          <w:tcPr>
            <w:tcW w:w="1088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Компоненти освітньої програми (навчальні дисципліни, курсові роботи (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lang w:val="uk-UA"/>
              </w:rPr>
              <w:t>проєкти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lang w:val="uk-UA"/>
              </w:rPr>
              <w:t>), практики, кваліфікаційна робота)</w:t>
            </w:r>
          </w:p>
        </w:tc>
        <w:tc>
          <w:tcPr>
            <w:tcW w:w="1177" w:type="dxa"/>
            <w:gridSpan w:val="2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Кількість кредитів</w:t>
            </w:r>
          </w:p>
        </w:tc>
        <w:tc>
          <w:tcPr>
            <w:tcW w:w="1516" w:type="dxa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Форма підсумкового контролю</w:t>
            </w:r>
          </w:p>
        </w:tc>
      </w:tr>
      <w:tr w:rsidR="00720CC1" w:rsidRPr="00720CC1">
        <w:tc>
          <w:tcPr>
            <w:tcW w:w="10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966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77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516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720CC1" w:rsidRPr="00720CC1">
        <w:tc>
          <w:tcPr>
            <w:tcW w:w="9747" w:type="dxa"/>
            <w:gridSpan w:val="5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Обов’язкові компоненти освітньої програми</w:t>
            </w:r>
          </w:p>
        </w:tc>
      </w:tr>
      <w:tr w:rsidR="00720CC1" w:rsidRPr="00720CC1">
        <w:tc>
          <w:tcPr>
            <w:tcW w:w="9747" w:type="dxa"/>
            <w:gridSpan w:val="5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Цикл загальної підготовки</w:t>
            </w:r>
          </w:p>
        </w:tc>
      </w:tr>
      <w:tr w:rsidR="00720CC1" w:rsidRPr="00720CC1">
        <w:tc>
          <w:tcPr>
            <w:tcW w:w="10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04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16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20CC1" w:rsidRPr="00720CC1">
        <w:tc>
          <w:tcPr>
            <w:tcW w:w="1088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Ділова іноземна мова</w:t>
            </w:r>
          </w:p>
        </w:tc>
        <w:tc>
          <w:tcPr>
            <w:tcW w:w="104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16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20CC1" w:rsidRPr="00720CC1">
        <w:trPr>
          <w:trHeight w:val="70"/>
        </w:trPr>
        <w:tc>
          <w:tcPr>
            <w:tcW w:w="7191" w:type="dxa"/>
            <w:gridSpan w:val="3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Всього з циклу</w:t>
            </w:r>
          </w:p>
        </w:tc>
        <w:tc>
          <w:tcPr>
            <w:tcW w:w="2556" w:type="dxa"/>
            <w:gridSpan w:val="2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</w:tr>
      <w:tr w:rsidR="00720CC1" w:rsidRPr="00720CC1">
        <w:tc>
          <w:tcPr>
            <w:tcW w:w="9747" w:type="dxa"/>
            <w:gridSpan w:val="5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720CC1" w:rsidRPr="00720CC1" w:rsidTr="00C55176">
        <w:trPr>
          <w:trHeight w:val="191"/>
        </w:trPr>
        <w:tc>
          <w:tcPr>
            <w:tcW w:w="1088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103" w:type="dxa"/>
            <w:gridSpan w:val="2"/>
            <w:tcBorders>
              <w:bottom w:val="single" w:sz="4" w:space="0" w:color="000000"/>
            </w:tcBorders>
            <w:vAlign w:val="center"/>
          </w:tcPr>
          <w:p w:rsidR="00895209" w:rsidRPr="00720CC1" w:rsidRDefault="0063595A">
            <w:pPr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Комп'ютеризація інформаційних процесів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20CC1" w:rsidRPr="00720CC1">
        <w:trPr>
          <w:trHeight w:val="240"/>
        </w:trPr>
        <w:tc>
          <w:tcPr>
            <w:tcW w:w="1088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103" w:type="dxa"/>
            <w:gridSpan w:val="2"/>
            <w:tcBorders>
              <w:bottom w:val="single" w:sz="4" w:space="0" w:color="000000"/>
            </w:tcBorders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Проектування комп’ютерно-інтегрованих систем</w:t>
            </w:r>
            <w:r w:rsidR="00C55176" w:rsidRPr="00720CC1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proofErr w:type="spellStart"/>
            <w:r w:rsidR="00C55176" w:rsidRPr="00720CC1">
              <w:rPr>
                <w:rFonts w:ascii="Times New Roman" w:eastAsia="Times New Roman" w:hAnsi="Times New Roman" w:cs="Times New Roman"/>
                <w:lang w:val="uk-UA"/>
              </w:rPr>
              <w:t>роботизованих</w:t>
            </w:r>
            <w:proofErr w:type="spellEnd"/>
            <w:r w:rsidR="00C55176" w:rsidRPr="00720CC1">
              <w:rPr>
                <w:rFonts w:ascii="Times New Roman" w:eastAsia="Times New Roman" w:hAnsi="Times New Roman" w:cs="Times New Roman"/>
                <w:lang w:val="uk-UA"/>
              </w:rPr>
              <w:t xml:space="preserve"> комплексів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20CC1" w:rsidRPr="00720CC1">
        <w:trPr>
          <w:trHeight w:val="300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Інтелектуальні системи управління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20CC1" w:rsidRPr="00720CC1" w:rsidTr="00C55176">
        <w:trPr>
          <w:trHeight w:val="253"/>
        </w:trPr>
        <w:tc>
          <w:tcPr>
            <w:tcW w:w="1088" w:type="dxa"/>
            <w:tcBorders>
              <w:top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103" w:type="dxa"/>
            <w:gridSpan w:val="2"/>
            <w:tcBorders>
              <w:bottom w:val="single" w:sz="4" w:space="0" w:color="000000"/>
            </w:tcBorders>
            <w:vAlign w:val="center"/>
          </w:tcPr>
          <w:p w:rsidR="00895209" w:rsidRPr="00720CC1" w:rsidRDefault="0063595A" w:rsidP="00C55176">
            <w:pPr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 xml:space="preserve">Сучасні засоби керування технологічними процесами 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895209" w:rsidRPr="00720CC1" w:rsidRDefault="0063595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20CC1" w:rsidRPr="00720CC1">
        <w:trPr>
          <w:trHeight w:val="202"/>
        </w:trPr>
        <w:tc>
          <w:tcPr>
            <w:tcW w:w="1088" w:type="dxa"/>
            <w:tcBorders>
              <w:top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</w:tcBorders>
            <w:vAlign w:val="center"/>
          </w:tcPr>
          <w:p w:rsidR="00895209" w:rsidRPr="00720CC1" w:rsidRDefault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Науково-дослідна практика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:rsidR="00895209" w:rsidRPr="00720CC1" w:rsidRDefault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20CC1" w:rsidRPr="00720CC1">
        <w:trPr>
          <w:trHeight w:val="202"/>
        </w:trPr>
        <w:tc>
          <w:tcPr>
            <w:tcW w:w="1088" w:type="dxa"/>
            <w:tcBorders>
              <w:top w:val="single" w:sz="4" w:space="0" w:color="000000"/>
            </w:tcBorders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</w:tcBorders>
            <w:vAlign w:val="center"/>
          </w:tcPr>
          <w:p w:rsidR="00363ED2" w:rsidRPr="00720CC1" w:rsidRDefault="00A972C4" w:rsidP="00A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Переддипломна практика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:rsidR="00363ED2" w:rsidRPr="00720CC1" w:rsidRDefault="00A972C4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 w:rsidR="00363ED2" w:rsidRPr="00720CC1" w:rsidRDefault="00A972C4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20CC1" w:rsidRPr="00720CC1">
        <w:tc>
          <w:tcPr>
            <w:tcW w:w="1088" w:type="dxa"/>
            <w:vAlign w:val="center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103" w:type="dxa"/>
            <w:gridSpan w:val="2"/>
            <w:vAlign w:val="center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Дипломна магістерська робота</w:t>
            </w:r>
          </w:p>
        </w:tc>
        <w:tc>
          <w:tcPr>
            <w:tcW w:w="1040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16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атестація</w:t>
            </w:r>
          </w:p>
        </w:tc>
      </w:tr>
      <w:tr w:rsidR="00720CC1" w:rsidRPr="00720CC1">
        <w:tc>
          <w:tcPr>
            <w:tcW w:w="7191" w:type="dxa"/>
            <w:gridSpan w:val="3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lang w:val="uk-UA"/>
              </w:rPr>
              <w:t>Всього з циклу</w:t>
            </w:r>
          </w:p>
        </w:tc>
        <w:tc>
          <w:tcPr>
            <w:tcW w:w="2556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60</w:t>
            </w:r>
          </w:p>
        </w:tc>
      </w:tr>
      <w:tr w:rsidR="00720CC1" w:rsidRPr="00720CC1">
        <w:tc>
          <w:tcPr>
            <w:tcW w:w="7191" w:type="dxa"/>
            <w:gridSpan w:val="3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2556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66</w:t>
            </w:r>
          </w:p>
        </w:tc>
      </w:tr>
      <w:tr w:rsidR="00720CC1" w:rsidRPr="00720CC1">
        <w:tc>
          <w:tcPr>
            <w:tcW w:w="9747" w:type="dxa"/>
            <w:gridSpan w:val="5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Вибіркові компоненти освітньої програми</w:t>
            </w:r>
          </w:p>
        </w:tc>
      </w:tr>
      <w:tr w:rsidR="00720CC1" w:rsidRPr="00720CC1">
        <w:tc>
          <w:tcPr>
            <w:tcW w:w="9747" w:type="dxa"/>
            <w:gridSpan w:val="5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Дисципліни вільного вибору студента</w:t>
            </w:r>
          </w:p>
        </w:tc>
      </w:tr>
      <w:tr w:rsidR="00720CC1" w:rsidRPr="00720CC1">
        <w:tc>
          <w:tcPr>
            <w:tcW w:w="1088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ДВВС1</w:t>
            </w:r>
          </w:p>
        </w:tc>
        <w:tc>
          <w:tcPr>
            <w:tcW w:w="6103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Дисципліна 1</w:t>
            </w:r>
          </w:p>
        </w:tc>
        <w:tc>
          <w:tcPr>
            <w:tcW w:w="1040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20CC1" w:rsidRPr="00720CC1">
        <w:tc>
          <w:tcPr>
            <w:tcW w:w="1088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ДВВС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03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Дисципліна 2</w:t>
            </w:r>
          </w:p>
        </w:tc>
        <w:tc>
          <w:tcPr>
            <w:tcW w:w="1040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20CC1" w:rsidRPr="00720CC1">
        <w:tc>
          <w:tcPr>
            <w:tcW w:w="1088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ДВВС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03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Дисципліна 3</w:t>
            </w:r>
          </w:p>
        </w:tc>
        <w:tc>
          <w:tcPr>
            <w:tcW w:w="1040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20CC1" w:rsidRPr="00720CC1">
        <w:tc>
          <w:tcPr>
            <w:tcW w:w="1088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ДВВС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03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Дисципліна 4</w:t>
            </w:r>
          </w:p>
        </w:tc>
        <w:tc>
          <w:tcPr>
            <w:tcW w:w="1040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20CC1" w:rsidRPr="00720CC1" w:rsidTr="006751F8">
        <w:tc>
          <w:tcPr>
            <w:tcW w:w="7191" w:type="dxa"/>
            <w:gridSpan w:val="3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2556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</w:tr>
      <w:tr w:rsidR="00363ED2" w:rsidRPr="00720CC1">
        <w:tc>
          <w:tcPr>
            <w:tcW w:w="7191" w:type="dxa"/>
            <w:gridSpan w:val="3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556" w:type="dxa"/>
            <w:gridSpan w:val="2"/>
          </w:tcPr>
          <w:p w:rsidR="00363ED2" w:rsidRPr="00720CC1" w:rsidRDefault="00363ED2" w:rsidP="0036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</w:tr>
    </w:tbl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63595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lang w:val="uk-UA"/>
        </w:rPr>
        <w:br w:type="page"/>
      </w: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Структурно-логічна схема підготовки магістрів</w:t>
      </w:r>
      <w:r w:rsidRPr="00720C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720CC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  <w:r w:rsidR="00686720" w:rsidRPr="00720CC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720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7F64C5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174</w:t>
      </w:r>
      <w:r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F49FC" w:rsidRPr="00720CC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Автоматизація, комп’ютерно-інтегровані технології та робототехніка</w:t>
      </w: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A97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8226366" wp14:editId="4A4C08CF">
            <wp:extent cx="6119495" cy="4335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Форма атестації здобувачів вищої освіти </w:t>
      </w:r>
    </w:p>
    <w:tbl>
      <w:tblPr>
        <w:tblStyle w:val="afff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720CC1" w:rsidRPr="00720CC1">
        <w:trPr>
          <w:trHeight w:val="151"/>
        </w:trPr>
        <w:tc>
          <w:tcPr>
            <w:tcW w:w="241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Атестація випускника освітньої програми проводиться у формі публічного захисту </w:t>
            </w:r>
            <w:r w:rsidR="0033363A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кваліфікаційної роботи (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дипломної магістерської роботи</w:t>
            </w:r>
            <w:r w:rsidR="0033363A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20CC1" w:rsidRPr="00720CC1">
        <w:trPr>
          <w:trHeight w:val="151"/>
        </w:trPr>
        <w:tc>
          <w:tcPr>
            <w:tcW w:w="2410" w:type="dxa"/>
          </w:tcPr>
          <w:p w:rsidR="00F26557" w:rsidRPr="00720CC1" w:rsidRDefault="00F26557" w:rsidP="00F26557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Вимоги до</w:t>
            </w:r>
          </w:p>
          <w:p w:rsidR="00F26557" w:rsidRPr="00720CC1" w:rsidRDefault="00F26557" w:rsidP="00F26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7229" w:type="dxa"/>
          </w:tcPr>
          <w:p w:rsidR="00F26557" w:rsidRPr="00720CC1" w:rsidRDefault="00F26557" w:rsidP="00F26557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Кваліфікаційна робота має продемонструвати здатність випускника розв’язувати складні задачі і проблеми автоматизації, комп’ютерно-інтегрованих технологій та робототехніки на основі досліджень та/або здійснення інновацій за невизначених умов і вимог.</w:t>
            </w:r>
          </w:p>
          <w:p w:rsidR="00F26557" w:rsidRPr="00720CC1" w:rsidRDefault="00F26557" w:rsidP="00F26557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Кваліфікаційна робота не повинна містити академічного плагіату, фабрикації, фальсифікації.</w:t>
            </w:r>
          </w:p>
          <w:p w:rsidR="00F26557" w:rsidRPr="00720CC1" w:rsidRDefault="00F26557" w:rsidP="00F26557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Кваліфікаційна робота має бути оприлюднена у </w:t>
            </w:r>
            <w:proofErr w:type="spellStart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Київського національного університету технологій та дизайну.</w:t>
            </w:r>
          </w:p>
        </w:tc>
      </w:tr>
      <w:tr w:rsidR="00720CC1" w:rsidRPr="00720CC1">
        <w:trPr>
          <w:trHeight w:val="151"/>
        </w:trPr>
        <w:tc>
          <w:tcPr>
            <w:tcW w:w="2410" w:type="dxa"/>
          </w:tcPr>
          <w:p w:rsidR="00895209" w:rsidRPr="00720CC1" w:rsidRDefault="0063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Документ про вищу освіту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29" w:type="dxa"/>
          </w:tcPr>
          <w:p w:rsidR="00F26557" w:rsidRPr="00720CC1" w:rsidRDefault="0063595A" w:rsidP="00F26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Диплом магістра із присвоєнням освітньої кваліфікації: 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магістр з автоматизації,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комп’ютерно-інтегрованих технологій </w:t>
            </w:r>
            <w:r w:rsidR="00A972C4"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робототехніки </w:t>
            </w: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(освітньо-професійної програми Комп’ютерно-інтегровані технологічні процеси та виробництва).</w:t>
            </w:r>
          </w:p>
        </w:tc>
      </w:tr>
    </w:tbl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64C5" w:rsidRPr="00720CC1" w:rsidRDefault="007F64C5">
      <w:pPr>
        <w:spacing w:after="0" w:line="240" w:lineRule="auto"/>
        <w:ind w:left="0" w:hanging="2"/>
        <w:rPr>
          <w:lang w:val="uk-UA"/>
        </w:rPr>
        <w:sectPr w:rsidR="007F64C5" w:rsidRPr="00720CC1">
          <w:pgSz w:w="11906" w:h="16838"/>
          <w:pgMar w:top="851" w:right="851" w:bottom="851" w:left="1418" w:header="709" w:footer="709" w:gutter="0"/>
          <w:pgNumType w:start="1"/>
          <w:cols w:space="720"/>
        </w:sectPr>
      </w:pPr>
    </w:p>
    <w:p w:rsidR="00895209" w:rsidRPr="00720CC1" w:rsidRDefault="0063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компонентам освітньої програми </w:t>
      </w:r>
    </w:p>
    <w:tbl>
      <w:tblPr>
        <w:tblStyle w:val="afff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819"/>
        <w:gridCol w:w="819"/>
        <w:gridCol w:w="819"/>
        <w:gridCol w:w="819"/>
        <w:gridCol w:w="820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1044"/>
        <w:gridCol w:w="1044"/>
      </w:tblGrid>
      <w:tr w:rsidR="00720CC1" w:rsidRPr="00720CC1" w:rsidTr="007F64C5">
        <w:trPr>
          <w:trHeight w:val="1134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 11</w:t>
            </w:r>
          </w:p>
        </w:tc>
      </w:tr>
      <w:tr w:rsidR="00720CC1" w:rsidRPr="00720CC1" w:rsidTr="007F64C5">
        <w:trPr>
          <w:trHeight w:val="40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720CC1" w:rsidRPr="00720CC1" w:rsidTr="007F64C5">
        <w:trPr>
          <w:trHeight w:val="39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720CC1" w:rsidRPr="00720CC1" w:rsidTr="007F64C5">
        <w:trPr>
          <w:trHeight w:val="25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405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21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34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34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720CC1" w:rsidRPr="00720CC1" w:rsidTr="007F64C5">
        <w:trPr>
          <w:trHeight w:val="39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B09" w:rsidRPr="00720CC1" w:rsidTr="007F64C5">
        <w:trPr>
          <w:trHeight w:val="39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</w:tr>
    </w:tbl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64C5" w:rsidRPr="00720CC1" w:rsidRDefault="007F64C5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895209" w:rsidRPr="00720CC1" w:rsidRDefault="0063595A" w:rsidP="007F64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C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відповідними компонентами освітньої програми </w:t>
      </w:r>
    </w:p>
    <w:tbl>
      <w:tblPr>
        <w:tblStyle w:val="afffb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1036"/>
        <w:gridCol w:w="1036"/>
        <w:gridCol w:w="1036"/>
        <w:gridCol w:w="1036"/>
        <w:gridCol w:w="1036"/>
        <w:gridCol w:w="1036"/>
      </w:tblGrid>
      <w:tr w:rsidR="00720CC1" w:rsidRPr="00720CC1" w:rsidTr="007F64C5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 15</w:t>
            </w:r>
          </w:p>
        </w:tc>
      </w:tr>
      <w:tr w:rsidR="00720CC1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720CC1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0CC1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8952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720CC1" w:rsidRPr="00720CC1" w:rsidTr="007D3EB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09" w:rsidRPr="00720CC1" w:rsidRDefault="00A95B09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95209" w:rsidRPr="00720CC1" w:rsidTr="007F64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A9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</w:t>
            </w:r>
            <w:r w:rsidR="00A95B09"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A95B09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09" w:rsidRPr="00720CC1" w:rsidRDefault="0063595A" w:rsidP="007F6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</w:tbl>
    <w:p w:rsidR="00895209" w:rsidRPr="00720CC1" w:rsidRDefault="00895209" w:rsidP="007F64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:rsidR="00895209" w:rsidRPr="00720CC1" w:rsidRDefault="00895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  <w:lang w:val="uk-UA"/>
        </w:rPr>
      </w:pPr>
    </w:p>
    <w:sectPr w:rsidR="00895209" w:rsidRPr="00720CC1" w:rsidSect="007F64C5">
      <w:pgSz w:w="16838" w:h="11906" w:orient="landscape"/>
      <w:pgMar w:top="1418" w:right="851" w:bottom="851" w:left="85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7364A"/>
    <w:multiLevelType w:val="hybridMultilevel"/>
    <w:tmpl w:val="EE7CA296"/>
    <w:lvl w:ilvl="0" w:tplc="44FCF986">
      <w:start w:val="5"/>
      <w:numFmt w:val="bullet"/>
      <w:lvlText w:val="-"/>
      <w:lvlJc w:val="left"/>
      <w:pPr>
        <w:ind w:left="718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9"/>
    <w:rsid w:val="0026787A"/>
    <w:rsid w:val="0033363A"/>
    <w:rsid w:val="00363ED2"/>
    <w:rsid w:val="004D670E"/>
    <w:rsid w:val="0063595A"/>
    <w:rsid w:val="00686720"/>
    <w:rsid w:val="006E3E09"/>
    <w:rsid w:val="006F442A"/>
    <w:rsid w:val="00720CC1"/>
    <w:rsid w:val="007C2F23"/>
    <w:rsid w:val="007F64C5"/>
    <w:rsid w:val="008042BE"/>
    <w:rsid w:val="008359DA"/>
    <w:rsid w:val="00895209"/>
    <w:rsid w:val="008B2845"/>
    <w:rsid w:val="00A95B09"/>
    <w:rsid w:val="00A972C4"/>
    <w:rsid w:val="00C55176"/>
    <w:rsid w:val="00EF49FC"/>
    <w:rsid w:val="00F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A267B-6A11-4598-ABB3-891E31B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655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suppressAutoHyphens w:val="0"/>
      <w:spacing w:after="0" w:line="240" w:lineRule="auto"/>
      <w:ind w:left="1620" w:hanging="360"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pPr>
      <w:keepNext/>
      <w:suppressAutoHyphens w:val="0"/>
      <w:spacing w:before="240" w:after="60" w:line="240" w:lineRule="auto"/>
      <w:ind w:left="1620" w:hanging="3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pPr>
      <w:keepNext/>
      <w:keepLines/>
      <w:suppressAutoHyphens w:val="0"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pPr>
      <w:keepNext/>
      <w:keepLines/>
      <w:suppressAutoHyphens w:val="0"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libri Light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  <w:lang w:eastAsia="ar-SA" w:bidi="ar-SA"/>
    </w:rPr>
  </w:style>
  <w:style w:type="character" w:customStyle="1" w:styleId="20">
    <w:name w:val="Заголовок 2 Знак"/>
    <w:rPr>
      <w:rFonts w:ascii="Arial" w:hAnsi="Arial" w:cs="Times New Roman"/>
      <w:b/>
      <w:i/>
      <w:w w:val="100"/>
      <w:position w:val="-1"/>
      <w:sz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30">
    <w:name w:val="Заголовок 3 Знак"/>
    <w:rPr>
      <w:rFonts w:ascii="Cambria" w:eastAsia="MS ????" w:hAnsi="Cambria" w:cs="Times New Roman"/>
      <w:b/>
      <w:color w:val="4F81BD"/>
      <w:w w:val="100"/>
      <w:position w:val="-1"/>
      <w:sz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40">
    <w:name w:val="Заголовок 4 Знак"/>
    <w:rPr>
      <w:rFonts w:ascii="Cambria" w:eastAsia="MS ????" w:hAnsi="Cambria" w:cs="Times New Roman"/>
      <w:b/>
      <w:i/>
      <w:color w:val="4F81BD"/>
      <w:w w:val="100"/>
      <w:position w:val="-1"/>
      <w:sz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50">
    <w:name w:val="Заголовок 5 Знак"/>
    <w:rPr>
      <w:rFonts w:ascii="Times New Roman" w:hAnsi="Times New Roman" w:cs="Times New Roman"/>
      <w:b/>
      <w:w w:val="100"/>
      <w:position w:val="-1"/>
      <w:sz w:val="36"/>
      <w:effect w:val="none"/>
      <w:vertAlign w:val="baseline"/>
      <w:cs w:val="0"/>
      <w:em w:val="none"/>
      <w:lang w:val="ru-RU"/>
    </w:rPr>
  </w:style>
  <w:style w:type="character" w:customStyle="1" w:styleId="60">
    <w:name w:val="Заголовок 6 Знак"/>
    <w:rPr>
      <w:rFonts w:ascii="Times New Roman" w:hAnsi="Times New Roman" w:cs="Times New Roman"/>
      <w:b/>
      <w:w w:val="100"/>
      <w:position w:val="-1"/>
      <w:sz w:val="16"/>
      <w:effect w:val="none"/>
      <w:vertAlign w:val="baseline"/>
      <w:cs w:val="0"/>
      <w:em w:val="none"/>
      <w:lang w:val="ru-RU"/>
    </w:rPr>
  </w:style>
  <w:style w:type="character" w:customStyle="1" w:styleId="70">
    <w:name w:val="Заголовок 7 Знак"/>
    <w:rPr>
      <w:rFonts w:ascii="Calibri Light" w:hAnsi="Calibri Light" w:cs="Times New Roman"/>
      <w:i/>
      <w:color w:val="404040"/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80">
    <w:name w:val="Заголовок 8 Знак"/>
    <w:rPr>
      <w:rFonts w:ascii="Calibri Light" w:hAnsi="Calibri Light" w:cs="Times New Roman"/>
      <w:color w:val="404040"/>
      <w:w w:val="100"/>
      <w:position w:val="-1"/>
      <w:sz w:val="20"/>
      <w:effect w:val="none"/>
      <w:vertAlign w:val="baseline"/>
      <w:cs w:val="0"/>
      <w:em w:val="none"/>
      <w:lang w:val="ru-RU"/>
    </w:rPr>
  </w:style>
  <w:style w:type="paragraph" w:customStyle="1" w:styleId="11">
    <w:name w:val="Абзац списка1"/>
    <w:basedOn w:val="a"/>
    <w:pPr>
      <w:suppressAutoHyphens w:val="0"/>
      <w:spacing w:after="0" w:line="240" w:lineRule="auto"/>
      <w:ind w:left="720"/>
    </w:pPr>
    <w:rPr>
      <w:sz w:val="24"/>
      <w:szCs w:val="24"/>
      <w:lang w:eastAsia="ar-SA"/>
    </w:rPr>
  </w:style>
  <w:style w:type="character" w:styleId="a4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0">
    <w:name w:val="Абзац списка11"/>
    <w:basedOn w:val="a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1">
    <w:name w:val="Абзац списка2"/>
    <w:basedOn w:val="a"/>
    <w:pPr>
      <w:ind w:left="720"/>
    </w:pPr>
  </w:style>
  <w:style w:type="paragraph" w:customStyle="1" w:styleId="a5">
    <w:name w:val="Название"/>
    <w:basedOn w:val="a"/>
    <w:next w:val="a6"/>
    <w:pPr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TitleChar">
    <w:name w:val="Title Char"/>
    <w:rPr>
      <w:rFonts w:ascii="Cambria" w:hAnsi="Cambria" w:cs="Times New Roman"/>
      <w:b/>
      <w:w w:val="100"/>
      <w:kern w:val="28"/>
      <w:position w:val="-1"/>
      <w:sz w:val="32"/>
      <w:effect w:val="none"/>
      <w:vertAlign w:val="baseline"/>
      <w:cs w:val="0"/>
      <w:em w:val="none"/>
      <w:lang w:eastAsia="en-US"/>
    </w:rPr>
  </w:style>
  <w:style w:type="character" w:customStyle="1" w:styleId="12">
    <w:name w:val="Название Знак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  <w:lang w:eastAsia="ar-SA" w:bidi="ar-SA"/>
    </w:rPr>
  </w:style>
  <w:style w:type="character" w:customStyle="1" w:styleId="a7">
    <w:name w:val="Название Знак"/>
    <w:rPr>
      <w:rFonts w:ascii="Calibri Light" w:hAnsi="Calibri Light"/>
      <w:color w:val="323E4F"/>
      <w:spacing w:val="5"/>
      <w:w w:val="100"/>
      <w:kern w:val="28"/>
      <w:position w:val="-1"/>
      <w:sz w:val="52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rPr>
      <w:rFonts w:ascii="Calibri Light" w:hAnsi="Calibri Light" w:cs="Times New Roman"/>
      <w:i/>
      <w:color w:val="4472C4"/>
      <w:spacing w:val="15"/>
      <w:w w:val="100"/>
      <w:position w:val="-1"/>
      <w:sz w:val="24"/>
      <w:effect w:val="none"/>
      <w:vertAlign w:val="baseline"/>
      <w:cs w:val="0"/>
      <w:em w:val="none"/>
      <w:lang w:eastAsia="ar-SA" w:bidi="ar-SA"/>
    </w:rPr>
  </w:style>
  <w:style w:type="character" w:styleId="a9">
    <w:name w:val="Strong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table" w:customStyle="1" w:styleId="14">
    <w:name w:val="Сетка таблицы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rPr>
      <w:rFonts w:ascii="Tahoma" w:hAnsi="Tahoma" w:cs="Times New Roman"/>
      <w:w w:val="100"/>
      <w:position w:val="-1"/>
      <w:sz w:val="16"/>
      <w:effect w:val="none"/>
      <w:vertAlign w:val="baseline"/>
      <w:cs w:val="0"/>
      <w:em w:val="none"/>
      <w:lang w:val="ru-RU"/>
    </w:rPr>
  </w:style>
  <w:style w:type="table" w:customStyle="1" w:styleId="31">
    <w:name w:val="Сетка таблицы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с отступом 2;Знак9"/>
    <w:basedOn w:val="a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90">
    <w:name w:val="Основной текст с отступом 2 Знак;Знак9 Знак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ru-RU" w:eastAsia="ru-RU"/>
    </w:rPr>
  </w:style>
  <w:style w:type="paragraph" w:customStyle="1" w:styleId="111">
    <w:name w:val="Без интервала1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e">
    <w:name w:val="header"/>
    <w:basedOn w:val="a"/>
    <w:pPr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23">
    <w:name w:val="Без интервала2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customStyle="1" w:styleId="15">
    <w:name w:val="заголовок 1"/>
    <w:basedOn w:val="a"/>
    <w:next w:val="a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  <w:lang w:val="uk-UA" w:eastAsia="ru-RU"/>
    </w:rPr>
  </w:style>
  <w:style w:type="paragraph" w:styleId="af0">
    <w:name w:val="footnote text"/>
    <w:basedOn w:val="a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rPr>
      <w:rFonts w:ascii="Calibri" w:hAnsi="Calibri" w:cs="Times New Roman"/>
      <w:w w:val="100"/>
      <w:position w:val="-1"/>
      <w:sz w:val="20"/>
      <w:effect w:val="none"/>
      <w:vertAlign w:val="baseline"/>
      <w:cs w:val="0"/>
      <w:em w:val="none"/>
      <w:lang w:val="ru-RU"/>
    </w:r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 w:eastAsia="ru-RU"/>
    </w:rPr>
  </w:style>
  <w:style w:type="character" w:customStyle="1" w:styleId="16">
    <w:name w:val="Основной текст1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vertAlign w:val="baseline"/>
      <w:cs w:val="0"/>
      <w:em w:val="none"/>
      <w:lang w:val="uk-UA"/>
    </w:rPr>
  </w:style>
  <w:style w:type="character" w:customStyle="1" w:styleId="af2">
    <w:name w:val="Основной текст_"/>
    <w:rPr>
      <w:rFonts w:ascii="Times New Roman" w:hAnsi="Times New Roman"/>
      <w:spacing w:val="7"/>
      <w:w w:val="100"/>
      <w:position w:val="-1"/>
      <w:sz w:val="20"/>
      <w:effect w:val="none"/>
      <w:shd w:val="clear" w:color="auto" w:fill="FFFFFF"/>
      <w:vertAlign w:val="baseline"/>
      <w:cs w:val="0"/>
      <w:em w:val="none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after="0" w:line="274" w:lineRule="atLeast"/>
      <w:jc w:val="both"/>
    </w:pPr>
    <w:rPr>
      <w:rFonts w:ascii="Times New Roman" w:hAnsi="Times New Roman"/>
      <w:spacing w:val="7"/>
      <w:sz w:val="20"/>
      <w:szCs w:val="20"/>
    </w:rPr>
  </w:style>
  <w:style w:type="character" w:styleId="af3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120"/>
    </w:pPr>
    <w:rPr>
      <w:sz w:val="20"/>
      <w:szCs w:val="20"/>
      <w:lang w:eastAsia="ru-RU"/>
    </w:rPr>
  </w:style>
  <w:style w:type="character" w:customStyle="1" w:styleId="af5">
    <w:name w:val="Основной текст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51">
    <w:name w:val="Сетка таблицы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(2)_"/>
    <w:rPr>
      <w:rFonts w:ascii="Times New Roman" w:hAnsi="Times New Roman"/>
      <w:w w:val="100"/>
      <w:position w:val="-1"/>
      <w:sz w:val="18"/>
      <w:effect w:val="none"/>
      <w:shd w:val="clear" w:color="auto" w:fill="FFFFFF"/>
      <w:vertAlign w:val="baseline"/>
      <w:cs w:val="0"/>
      <w:em w:val="none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after="0" w:line="221" w:lineRule="atLeast"/>
      <w:jc w:val="both"/>
    </w:pPr>
    <w:rPr>
      <w:rFonts w:ascii="Times New Roman" w:hAnsi="Times New Roman"/>
      <w:sz w:val="18"/>
      <w:szCs w:val="20"/>
    </w:rPr>
  </w:style>
  <w:style w:type="paragraph" w:customStyle="1" w:styleId="af6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zh-CN"/>
    </w:rPr>
  </w:style>
  <w:style w:type="paragraph" w:styleId="af7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af8">
    <w:name w:val="Document Map"/>
    <w:basedOn w:val="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9">
    <w:name w:val="Схема документа Знак"/>
    <w:rPr>
      <w:rFonts w:ascii="Times New Roman" w:hAnsi="Times New Roman" w:cs="Times New Roman"/>
      <w:w w:val="100"/>
      <w:position w:val="-1"/>
      <w:sz w:val="2"/>
      <w:effect w:val="none"/>
      <w:vertAlign w:val="baseline"/>
      <w:cs w:val="0"/>
      <w:em w:val="none"/>
      <w:lang w:eastAsia="en-US"/>
    </w:rPr>
  </w:style>
  <w:style w:type="paragraph" w:styleId="afa">
    <w:name w:val="List Paragraph"/>
    <w:basedOn w:val="a"/>
    <w:pPr>
      <w:ind w:left="708"/>
    </w:pPr>
  </w:style>
  <w:style w:type="paragraph" w:customStyle="1" w:styleId="afb">
    <w:name w:val="Содержимое таблицы"/>
    <w:basedOn w:val="a"/>
    <w:pPr>
      <w:suppressLineNumbers/>
      <w:suppressAutoHyphens w:val="0"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a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a0"/>
    <w:rsid w:val="006E3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RRItNeKpwStKK3cyozrVLSkhg==">AMUW2mUOKI3Bnzn+Js6GxlicYHyGLfwCB7/BG0H9m9VQrxzg6Wr0Ig5yu78d9lcZRAiV7v6IH0Z5KE69RZlH8WDp5NUmV1l64rCW4lVCfQWJ6tMg4ZYtCscVCbo+xi7Ca4vobTDbgYj8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14508</Words>
  <Characters>8271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Windows User</cp:lastModifiedBy>
  <cp:revision>2</cp:revision>
  <dcterms:created xsi:type="dcterms:W3CDTF">2023-02-21T12:38:00Z</dcterms:created>
  <dcterms:modified xsi:type="dcterms:W3CDTF">2023-02-21T12:38:00Z</dcterms:modified>
</cp:coreProperties>
</file>