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mallCaps w:val="1"/>
          <w:sz w:val="24"/>
          <w:szCs w:val="24"/>
          <w:rtl w:val="0"/>
        </w:rPr>
        <w:t xml:space="preserve">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МІНІСТЕРСТВО ОСВІТИ І НАУКИ УКРАЇНИ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КИЇВСЬКИЙ НАЦІОНАЛЬНИЙ УНІВЕРСИТЕТ</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ТЕХНОЛОГІЙ ТА ДИЗАЙНУ</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 w:lineRule="auto"/>
        <w:ind w:left="52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ЗАТВЕРДЖЕНО ВЧЕНОЮ РАДОЮ</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 w:lineRule="auto"/>
        <w:ind w:left="524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Вченої ради КНУТД</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 w:lineRule="auto"/>
        <w:ind w:left="52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 Іван ГРИЩЕНКО</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 w:lineRule="auto"/>
        <w:ind w:left="52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(протокол від __ _________202</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р. № 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ОСВІТНЬО-ПРОФЕСІЙНА ПРОГРАМА</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single"/>
          <w:shd w:fill="auto" w:val="clear"/>
          <w:vertAlign w:val="baseline"/>
          <w:rtl w:val="0"/>
        </w:rPr>
        <w:t xml:space="preserve">УКРАЇНСЬКА МОВА І ЛІТЕРАТУРА ТА АНГЛІЙСЬКІ ФІЛОЛОГІЧНІ СТУДІЇ</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1"/>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вищої освіти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перший (бакалаврський)</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Ступінь вищої освіти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бакалавр</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Галузь знань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01 Освіта / Педагогіка</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014 Середня освіта</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Предметна спеціальність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014.01 Середня освіта. (Українська мова і література), 014.02 Середня освіта. Мова та література (англійська)</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Спеціалізація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014.01 Українська мова і література, 014.021 Англійська мова і література</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Кваліфікація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бакалавр середньої освіти, вчитель української мови і літератури,</w:t>
      </w:r>
      <w:r w:rsidDel="00000000" w:rsidR="00000000" w:rsidRPr="00000000">
        <w:rPr>
          <w:rFonts w:ascii="Times New Roman" w:cs="Times New Roman" w:eastAsia="Times New Roman" w:hAnsi="Times New Roman"/>
          <w:sz w:val="28"/>
          <w:szCs w:val="28"/>
          <w:u w:val="single"/>
          <w:rtl w:val="0"/>
        </w:rPr>
        <w:t xml:space="preserve"> вчитель української мови як іноземної, в</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читель англійської мови і літератури</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202</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w:t>
      </w:r>
      <w:r w:rsidDel="00000000" w:rsidR="00000000" w:rsidRPr="00000000">
        <w:br w:type="page"/>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ЛИСТ ПОГОДЖЕННЯ</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Освітньо-професійної програми</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Українська мова і література та англійські філологічні студії</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Рівень вищої освіти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перший (бакалаврський)</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Ступінь вищої освіти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бакалавр</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Галузь знань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01 Освіта / Педагогіка</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014 Середня освіта</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Предметна спеціальність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014.01 Середня освіта. (Українська мова і література), 014.02 Середня освіта. Мова та література (англійська)</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Спеціалізація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014.01 Українська мова і література, 014.021 Англійська мова і література</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Проректорка з науково-педагогічної діяльності (освітня діяльність)</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Оксана МОРГУЛЕЦЬ</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Схвалено Вченою радою навчально-наукового інституту права та сучасних технологій</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від 03 листопада 2022 року № 3</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Директорка навчально-наукового інституту права та сучасних технологій</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Тетяна ВЛАСЮК</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Обговорено та рекомендовано на засіданні кафедри </w:t>
      </w:r>
      <w:r w:rsidDel="00000000" w:rsidR="00000000" w:rsidRPr="00000000">
        <w:rPr>
          <w:rFonts w:ascii="Times New Roman" w:cs="Times New Roman" w:eastAsia="Times New Roman" w:hAnsi="Times New Roman"/>
          <w:b w:val="1"/>
          <w:sz w:val="24"/>
          <w:szCs w:val="24"/>
          <w:rtl w:val="0"/>
        </w:rPr>
        <w:t xml:space="preserve">філології та перекладу</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від 02 листопада 2022 року № 4</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Завідувачка кафедри </w:t>
      </w:r>
      <w:r w:rsidDel="00000000" w:rsidR="00000000" w:rsidRPr="00000000">
        <w:rPr>
          <w:rFonts w:ascii="Times New Roman" w:cs="Times New Roman" w:eastAsia="Times New Roman" w:hAnsi="Times New Roman"/>
          <w:b w:val="1"/>
          <w:sz w:val="24"/>
          <w:szCs w:val="24"/>
          <w:rtl w:val="0"/>
        </w:rPr>
        <w:t xml:space="preserve">філології та перекладу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Юлія БОНДАРЧУК</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Гарантка освітньої програми</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Світлана ДВОРЯНЧИКОВА</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Введено в дію наказом КНУТД від «__» ______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року № ____</w:t>
      </w:r>
      <w:r w:rsidDel="00000000" w:rsidR="00000000" w:rsidRPr="00000000">
        <w:br w:type="page"/>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ПЕРЕДМОВА</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РОЗРОБЛЕНО: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Київський національний університет технологій та дизайну</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РОЗРОБНИКИ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Гарантка освітньої програми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Дворянчикова Світлана Євгенівна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філол. н., доцентка, доцентка кафедри філології та перекладу Київського національного університету технологій та дизайну</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Членкині робочої групи:</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Бондарчук Юлія Андріївна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філол. н., доцентка,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завідувачка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кафедри філології та перекладу Київського національного університету технологій та дизайну;</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Синявська Ольга Євгенівна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філол. н., доцентка кафедри філології та перекладу Київського національного університету технологій та дизайну;</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Юган Наталія Леонідівна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 філол. н., доцентка, стажувальниця Інституту германістики Дюссельдорфського університету імені Генріха Гейне.</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РЕЦЕНЗІЇ ЗОВНІШНІХ СТЕЙКХОЛДЕРІВ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Верещак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викладачка кафедри перекладу, прикладної та загальної лінгвістики, керівни</w:t>
      </w:r>
      <w:r w:rsidDel="00000000" w:rsidR="00000000" w:rsidRPr="00000000">
        <w:rPr>
          <w:rFonts w:ascii="Times New Roman" w:cs="Times New Roman" w:eastAsia="Times New Roman" w:hAnsi="Times New Roman"/>
          <w:sz w:val="24"/>
          <w:szCs w:val="24"/>
          <w:rtl w:val="0"/>
        </w:rPr>
        <w:t xml:space="preserve">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іцензованого </w:t>
      </w:r>
      <w:r w:rsidDel="00000000" w:rsidR="00000000" w:rsidRPr="00000000">
        <w:rPr>
          <w:rFonts w:ascii="Times New Roman" w:cs="Times New Roman" w:eastAsia="Times New Roman" w:hAnsi="Times New Roman"/>
          <w:sz w:val="24"/>
          <w:szCs w:val="24"/>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овного </w:t>
      </w:r>
      <w:r w:rsidDel="00000000" w:rsidR="00000000" w:rsidRPr="00000000">
        <w:rPr>
          <w:rFonts w:ascii="Times New Roman" w:cs="Times New Roman" w:eastAsia="Times New Roman" w:hAnsi="Times New Roman"/>
          <w:sz w:val="24"/>
          <w:szCs w:val="24"/>
          <w:rtl w:val="0"/>
        </w:rPr>
        <w:t xml:space="preserve">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ентру, заступни</w:t>
      </w:r>
      <w:r w:rsidDel="00000000" w:rsidR="00000000" w:rsidRPr="00000000">
        <w:rPr>
          <w:rFonts w:ascii="Times New Roman" w:cs="Times New Roman" w:eastAsia="Times New Roman" w:hAnsi="Times New Roman"/>
          <w:sz w:val="24"/>
          <w:szCs w:val="24"/>
          <w:rtl w:val="0"/>
        </w:rPr>
        <w:t xml:space="preserve">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декана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виховної та профорієнтаційної роботи факультету української філології, іноземних мов та соціальних комунікацій Центральноукраїнського державного університету імені Володимира Винниченка;</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Макаришин Т.</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вчителька української мови і літератури спеціалізованої</w:t>
      </w:r>
      <w:r w:rsidDel="00000000" w:rsidR="00000000" w:rsidRPr="00000000">
        <w:rPr>
          <w:rFonts w:ascii="Times New Roman" w:cs="Times New Roman" w:eastAsia="Times New Roman" w:hAnsi="Times New Roman"/>
          <w:sz w:val="24"/>
          <w:szCs w:val="24"/>
          <w:rtl w:val="0"/>
        </w:rPr>
        <w:t xml:space="preserve"> загальноосвітньої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школи І-ІІІ ступенів з поглибленим вивченням іноземних мов № 329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імені Г</w:t>
      </w:r>
      <w:r w:rsidDel="00000000" w:rsidR="00000000" w:rsidRPr="00000000">
        <w:rPr>
          <w:rFonts w:ascii="Times New Roman" w:cs="Times New Roman" w:eastAsia="Times New Roman" w:hAnsi="Times New Roman"/>
          <w:sz w:val="24"/>
          <w:szCs w:val="24"/>
          <w:rtl w:val="0"/>
        </w:rPr>
        <w:t xml:space="preserve">еоргія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Гонгадзе;</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Перехейда В. В., к. соц. ком., асистент кафедри української філології для іноземних громадян Київського національного університету імені Тараса Шевченка;</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Піскун С.</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вчителька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англійської мови </w:t>
      </w:r>
      <w:r w:rsidDel="00000000" w:rsidR="00000000" w:rsidRPr="00000000">
        <w:rPr>
          <w:rFonts w:ascii="Times New Roman" w:cs="Times New Roman" w:eastAsia="Times New Roman" w:hAnsi="Times New Roman"/>
          <w:sz w:val="24"/>
          <w:szCs w:val="24"/>
          <w:rtl w:val="0"/>
        </w:rPr>
        <w:t xml:space="preserve">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омунальн</w:t>
      </w:r>
      <w:r w:rsidDel="00000000" w:rsidR="00000000" w:rsidRPr="00000000">
        <w:rPr>
          <w:rFonts w:ascii="Times New Roman" w:cs="Times New Roman" w:eastAsia="Times New Roman" w:hAnsi="Times New Roman"/>
          <w:sz w:val="24"/>
          <w:szCs w:val="24"/>
          <w:rtl w:val="0"/>
        </w:rPr>
        <w:t xml:space="preserve">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закладу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Ліцей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Муніципальний колегіум</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Кропивницької міської ради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Салахатдінова Е., к. філол. н., викладачка кафедри слов’янських мов і літератур факультету літератур Стамбульського університету, викладачка мовного центру Стамбульського університету (Турецька Республіка);</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Шпетна С. А., к. пед. н., доцен</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тка, </w:t>
      </w:r>
      <w:r w:rsidDel="00000000" w:rsidR="00000000" w:rsidRPr="00000000">
        <w:rPr>
          <w:rFonts w:ascii="Times New Roman" w:cs="Times New Roman" w:eastAsia="Times New Roman" w:hAnsi="Times New Roman"/>
          <w:sz w:val="24"/>
          <w:szCs w:val="24"/>
          <w:rtl w:val="0"/>
        </w:rPr>
        <w:t xml:space="preserve">почесна професорка державного закладу «Луганський національний університет імені Тараса Шевченка»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завідувачка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кафедри іноземної мови за професійним спрямуванням</w:t>
      </w:r>
      <w:r w:rsidDel="00000000" w:rsidR="00000000" w:rsidRPr="00000000">
        <w:rPr>
          <w:rFonts w:ascii="Times New Roman" w:cs="Times New Roman" w:eastAsia="Times New Roman" w:hAnsi="Times New Roman"/>
          <w:sz w:val="24"/>
          <w:szCs w:val="24"/>
          <w:rtl w:val="0"/>
        </w:rPr>
        <w:t xml:space="preserve"> державного закладу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«Луганський національний університет імені Т</w:t>
      </w:r>
      <w:r w:rsidDel="00000000" w:rsidR="00000000" w:rsidRPr="00000000">
        <w:rPr>
          <w:rFonts w:ascii="Times New Roman" w:cs="Times New Roman" w:eastAsia="Times New Roman" w:hAnsi="Times New Roman"/>
          <w:sz w:val="24"/>
          <w:szCs w:val="24"/>
          <w:rtl w:val="0"/>
        </w:rPr>
        <w:t xml:space="preserve">араса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Шевченка»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Профіль освітньо-професійної програми</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Українська мова і література та англійські філологічні студії</w:t>
      </w:r>
    </w:p>
    <w:tbl>
      <w:tblPr>
        <w:tblStyle w:val="Table1"/>
        <w:tblW w:w="9840.0" w:type="dxa"/>
        <w:jc w:val="left"/>
        <w:tblInd w:w="-111.00000000000001" w:type="dxa"/>
        <w:tblLayout w:type="fixed"/>
        <w:tblLook w:val="0000"/>
      </w:tblPr>
      <w:tblGrid>
        <w:gridCol w:w="1005"/>
        <w:gridCol w:w="720"/>
        <w:gridCol w:w="930"/>
        <w:gridCol w:w="120"/>
        <w:gridCol w:w="450"/>
        <w:gridCol w:w="6615"/>
        <w:tblGridChange w:id="0">
          <w:tblGrid>
            <w:gridCol w:w="1005"/>
            <w:gridCol w:w="720"/>
            <w:gridCol w:w="930"/>
            <w:gridCol w:w="120"/>
            <w:gridCol w:w="450"/>
            <w:gridCol w:w="6615"/>
          </w:tblGrid>
        </w:tblGridChange>
      </w:tblGrid>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 Загальна інформація</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Повна назва вищого навчального закладу та структурного підрозділу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Київський національний університет технологій та дизайну.</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Кафедра філології та перекладу.</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Ступінь вищої освіти та кваліфікація мовою оригіналу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Рівень вищої освіти – перший (бакалаврський).</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Ступінь вищої освіти – бакалавр.</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Галузь знань – 01 Освіта / Педагогіка.</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Спеціальність – 014 Середня освіта.</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Предметна спеціальність – 014.01 Середня освіта. (Українська мова і література), 014.02 Середня освіта. Мова та література (англійська).</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Спеціалізація – 014.01 Українська мова і література, 014.021 Англійська мова і література.</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Кваліфікація – бакалавр середньої освіти, вчитель української мови і літератур</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и,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вчитель </w:t>
            </w:r>
            <w:r w:rsidDel="00000000" w:rsidR="00000000" w:rsidRPr="00000000">
              <w:rPr>
                <w:rFonts w:ascii="Times New Roman" w:cs="Times New Roman" w:eastAsia="Times New Roman" w:hAnsi="Times New Roman"/>
                <w:sz w:val="24"/>
                <w:szCs w:val="24"/>
                <w:rtl w:val="0"/>
              </w:rPr>
              <w:t xml:space="preserve">української мови як іноземної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вчитель англійської мови і літератури.</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Тип диплому та обсяг освітньої програми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Диплом бакалавра, одиничний, 240 кредитів ЄКТС/</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180 кредитів ЄКТС за скороченим терміном навчання.</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Наявність акредитації</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Цикл/рівень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Національна рамка кваліфікації України – 6 рівень.</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Передумови</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Повна загальна середня освіта, фахова передвища освіта або ступінь молодшого бакалавра (молодшого спеціаліста). Відповідно до Стандарту вищої освіти за спеціальністю на базі ступеня молодшого бакалавра (ОКР молодшого спеціаліста) Університет визнає та перезараховує кредити ЄКТС, отримані в межах попередньої освітньої програми підготовки молодшого бакалавра (молодшого спеціаліста).</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Мова(и) викладання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Українська, англійська</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Термін дії освітньої програми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Інтернет-адреса постійного розміщення опису освітньої програми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https://knutd.edu.ua/ekts/</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 Мета освітньої програми</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Метою освітньої програми є підготовка висококваліфікованих конкурентоспроможних фахівців, які володіють глибокими загальними знаннями та</w:t>
            </w:r>
            <w:r w:rsidDel="00000000" w:rsidR="00000000" w:rsidRPr="00000000">
              <w:rPr>
                <w:rFonts w:ascii="Times New Roman" w:cs="Times New Roman" w:eastAsia="Times New Roman" w:hAnsi="Times New Roman"/>
                <w:sz w:val="24"/>
                <w:szCs w:val="24"/>
                <w:highlight w:val="white"/>
                <w:rtl w:val="0"/>
              </w:rPr>
              <w:t xml:space="preserve"> фундаментальною теоретичною базою</w:t>
            </w:r>
            <w:r w:rsidDel="00000000" w:rsidR="00000000" w:rsidRPr="00000000">
              <w:rPr>
                <w:rFonts w:ascii="Times New Roman" w:cs="Times New Roman" w:eastAsia="Times New Roman" w:hAnsi="Times New Roman"/>
                <w:sz w:val="24"/>
                <w:szCs w:val="24"/>
                <w:rtl w:val="0"/>
              </w:rPr>
              <w:t xml:space="preserve"> з фахових дисциплін, практичними уміннями та навичками застосування новітніх методів і методик педагогічних та філологічних наук і технологій навчання, та які здатні до професійного самовдосконалення, творчої педагогічної діяльності та безперервної самоосвіти.</w:t>
            </w:r>
          </w:p>
          <w:p w:rsidR="00000000" w:rsidDel="00000000" w:rsidP="00000000" w:rsidRDefault="00000000" w:rsidRPr="00000000" w14:paraId="000000B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Основними цілями програми є формування сучасних фахівців, чиї світоглядні орієнтири базуються на гуманістичних і національних ідеалах та громадянських цінностях і які здатні розв’язувати складні спеціалізовані завдання і практичні проблеми навчальної, методичної, науково-дослідної та організаційної роботи в галузі середньої освіти, що передбачає професійну діяльність з викладання української мови </w:t>
            </w:r>
            <w:r w:rsidDel="00000000" w:rsidR="00000000" w:rsidRPr="00000000">
              <w:rPr>
                <w:rFonts w:ascii="Times New Roman" w:cs="Times New Roman" w:eastAsia="Times New Roman" w:hAnsi="Times New Roman"/>
                <w:sz w:val="24"/>
                <w:szCs w:val="24"/>
                <w:rtl w:val="0"/>
              </w:rPr>
              <w:t xml:space="preserve">(зокрема української мови як іноземної) </w:t>
            </w:r>
            <w:r w:rsidDel="00000000" w:rsidR="00000000" w:rsidRPr="00000000">
              <w:rPr>
                <w:rFonts w:ascii="Times New Roman" w:cs="Times New Roman" w:eastAsia="Times New Roman" w:hAnsi="Times New Roman"/>
                <w:sz w:val="24"/>
                <w:szCs w:val="24"/>
                <w:rtl w:val="0"/>
              </w:rPr>
              <w:t xml:space="preserve">і літератури, англійської мови і зарубіжної літератури і характеризується комплексністю та невизначеністю умов.</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 Характеристика освітньої програми</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Предметна область</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Програма орієнтована на формування у здобувачів компетентностей щодо набуття глибоких знань, умінь та навичок зі спеціальності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014 Середня освіта</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Обов’язков</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і освітні компоненти – 75%, з них: загальної підготовки – 9%, професійної підготовки – 78%, практичн</w:t>
            </w:r>
            <w:r w:rsidDel="00000000" w:rsidR="00000000" w:rsidRPr="00000000">
              <w:rPr>
                <w:rFonts w:ascii="Times New Roman" w:cs="Times New Roman" w:eastAsia="Times New Roman" w:hAnsi="Times New Roman"/>
                <w:sz w:val="24"/>
                <w:szCs w:val="24"/>
                <w:rtl w:val="0"/>
              </w:rPr>
              <w:t xml:space="preserve">ої</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підготовк</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 13%.  Дисципліни вільного вибору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студента</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 25%, обираються із загальн</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оуніверситетського каталогу відповідно до затвердженої процедури в Університеті.</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Орієнтація освітньої програми</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Освітньо-професійна програма для підготовки бакалавра.</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Основний фокус освітньої програми</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line="240" w:lineRule="auto"/>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Акцент зроблений на оволодінні</w:t>
            </w:r>
            <w:r w:rsidDel="00000000" w:rsidR="00000000" w:rsidRPr="00000000">
              <w:rPr>
                <w:rFonts w:ascii="Times New Roman" w:cs="Times New Roman" w:eastAsia="Times New Roman" w:hAnsi="Times New Roman"/>
                <w:sz w:val="24"/>
                <w:szCs w:val="24"/>
                <w:rtl w:val="0"/>
              </w:rPr>
              <w:t xml:space="preserve"> студентами</w:t>
            </w:r>
            <w:r w:rsidDel="00000000" w:rsidR="00000000" w:rsidRPr="00000000">
              <w:rPr>
                <w:rFonts w:ascii="Times New Roman" w:cs="Times New Roman" w:eastAsia="Times New Roman" w:hAnsi="Times New Roman"/>
                <w:sz w:val="24"/>
                <w:szCs w:val="24"/>
                <w:rtl w:val="0"/>
              </w:rPr>
              <w:t xml:space="preserve"> загальними та фаховими компетентностями для успішного здійснення професійної діяльності вчителя української мови і літератури, </w:t>
            </w:r>
            <w:r w:rsidDel="00000000" w:rsidR="00000000" w:rsidRPr="00000000">
              <w:rPr>
                <w:rFonts w:ascii="Times New Roman" w:cs="Times New Roman" w:eastAsia="Times New Roman" w:hAnsi="Times New Roman"/>
                <w:sz w:val="24"/>
                <w:szCs w:val="24"/>
                <w:rtl w:val="0"/>
              </w:rPr>
              <w:t xml:space="preserve">української мови як іноземної,</w:t>
            </w:r>
            <w:r w:rsidDel="00000000" w:rsidR="00000000" w:rsidRPr="00000000">
              <w:rPr>
                <w:rFonts w:ascii="Times New Roman" w:cs="Times New Roman" w:eastAsia="Times New Roman" w:hAnsi="Times New Roman"/>
                <w:sz w:val="24"/>
                <w:szCs w:val="24"/>
                <w:rtl w:val="0"/>
              </w:rPr>
              <w:t xml:space="preserve"> англійської мови і зарубіжної літератури на рівні, який забезпечує конкурентоспроможність на </w:t>
            </w:r>
            <w:r w:rsidDel="00000000" w:rsidR="00000000" w:rsidRPr="00000000">
              <w:rPr>
                <w:rFonts w:ascii="Times New Roman" w:cs="Times New Roman" w:eastAsia="Times New Roman" w:hAnsi="Times New Roman"/>
                <w:sz w:val="24"/>
                <w:szCs w:val="24"/>
                <w:rtl w:val="0"/>
              </w:rPr>
              <w:t xml:space="preserve">національному та міжнародному</w:t>
            </w:r>
            <w:r w:rsidDel="00000000" w:rsidR="00000000" w:rsidRPr="00000000">
              <w:rPr>
                <w:rFonts w:ascii="Times New Roman" w:cs="Times New Roman" w:eastAsia="Times New Roman" w:hAnsi="Times New Roman"/>
                <w:sz w:val="24"/>
                <w:szCs w:val="24"/>
                <w:rtl w:val="0"/>
              </w:rPr>
              <w:t xml:space="preserve"> ринках праці в умовах сучасних закладів середньої освіти та організацій неформальної освіти.</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Особливості освітньої програми</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Програму орієнтовано на здобуття інтегрованої фахової освіти в сфері української мови і літератури</w:t>
            </w:r>
            <w:r w:rsidDel="00000000" w:rsidR="00000000" w:rsidRPr="00000000">
              <w:rPr>
                <w:rFonts w:ascii="Times New Roman" w:cs="Times New Roman" w:eastAsia="Times New Roman" w:hAnsi="Times New Roman"/>
                <w:sz w:val="24"/>
                <w:szCs w:val="24"/>
                <w:rtl w:val="0"/>
              </w:rPr>
              <w:t xml:space="preserve">, української мови як іноземної </w:t>
            </w:r>
            <w:r w:rsidDel="00000000" w:rsidR="00000000" w:rsidRPr="00000000">
              <w:rPr>
                <w:rFonts w:ascii="Times New Roman" w:cs="Times New Roman" w:eastAsia="Times New Roman" w:hAnsi="Times New Roman"/>
                <w:sz w:val="24"/>
                <w:szCs w:val="24"/>
                <w:rtl w:val="0"/>
              </w:rPr>
              <w:t xml:space="preserve">та </w:t>
            </w:r>
            <w:r w:rsidDel="00000000" w:rsidR="00000000" w:rsidRPr="00000000">
              <w:rPr>
                <w:rFonts w:ascii="Times New Roman" w:cs="Times New Roman" w:eastAsia="Times New Roman" w:hAnsi="Times New Roman"/>
                <w:sz w:val="24"/>
                <w:szCs w:val="24"/>
                <w:rtl w:val="0"/>
              </w:rPr>
              <w:t xml:space="preserve">англійської мови і зарубіжної літератури</w:t>
            </w:r>
            <w:r w:rsidDel="00000000" w:rsidR="00000000" w:rsidRPr="00000000">
              <w:rPr>
                <w:rFonts w:ascii="Times New Roman" w:cs="Times New Roman" w:eastAsia="Times New Roman" w:hAnsi="Times New Roman"/>
                <w:sz w:val="24"/>
                <w:szCs w:val="24"/>
                <w:rtl w:val="0"/>
              </w:rPr>
              <w:t xml:space="preserve"> і набуття та імплементацію актуальних загальних і фахових компетентностей з перспективою подальшої професійної та наукової діяльності.</w:t>
            </w:r>
            <w:r w:rsidDel="00000000" w:rsidR="00000000" w:rsidRPr="00000000">
              <w:rPr>
                <w:rtl w:val="0"/>
              </w:rPr>
            </w:r>
          </w:p>
          <w:p w:rsidR="00000000" w:rsidDel="00000000" w:rsidP="00000000" w:rsidRDefault="00000000" w:rsidRPr="00000000" w14:paraId="000000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особливостей програми належить закладена можливість удосконалення набутих компетентностей у царині української і англійської мови та літератури, </w:t>
            </w:r>
            <w:r w:rsidDel="00000000" w:rsidR="00000000" w:rsidRPr="00000000">
              <w:rPr>
                <w:rFonts w:ascii="Times New Roman" w:cs="Times New Roman" w:eastAsia="Times New Roman" w:hAnsi="Times New Roman"/>
                <w:sz w:val="24"/>
                <w:szCs w:val="24"/>
                <w:rtl w:val="0"/>
              </w:rPr>
              <w:t xml:space="preserve">української мови як іноземної, </w:t>
            </w:r>
            <w:r w:rsidDel="00000000" w:rsidR="00000000" w:rsidRPr="00000000">
              <w:rPr>
                <w:rFonts w:ascii="Times New Roman" w:cs="Times New Roman" w:eastAsia="Times New Roman" w:hAnsi="Times New Roman"/>
                <w:sz w:val="24"/>
                <w:szCs w:val="24"/>
                <w:rtl w:val="0"/>
              </w:rPr>
              <w:t xml:space="preserve">педагогіки, методики викладання й психології </w:t>
            </w:r>
            <w:r w:rsidDel="00000000" w:rsidR="00000000" w:rsidRPr="00000000">
              <w:rPr>
                <w:rFonts w:ascii="Times New Roman" w:cs="Times New Roman" w:eastAsia="Times New Roman" w:hAnsi="Times New Roman"/>
                <w:sz w:val="24"/>
                <w:szCs w:val="24"/>
                <w:rtl w:val="0"/>
              </w:rPr>
              <w:t xml:space="preserve">для формування конкурентоспроможного на ринку праці фахівця </w:t>
            </w:r>
            <w:r w:rsidDel="00000000" w:rsidR="00000000" w:rsidRPr="00000000">
              <w:rPr>
                <w:rFonts w:ascii="Times New Roman" w:cs="Times New Roman" w:eastAsia="Times New Roman" w:hAnsi="Times New Roman"/>
                <w:sz w:val="24"/>
                <w:szCs w:val="24"/>
                <w:rtl w:val="0"/>
              </w:rPr>
              <w:t xml:space="preserve">з глибоким розумінням сучасних тенденцій реформування середньої освіти, </w:t>
            </w:r>
            <w:r w:rsidDel="00000000" w:rsidR="00000000" w:rsidRPr="00000000">
              <w:rPr>
                <w:rFonts w:ascii="Times New Roman" w:cs="Times New Roman" w:eastAsia="Times New Roman" w:hAnsi="Times New Roman"/>
                <w:sz w:val="24"/>
                <w:szCs w:val="24"/>
                <w:rtl w:val="0"/>
              </w:rPr>
              <w:t xml:space="preserve">особливостей навчання української мови інокомунікантів</w:t>
            </w:r>
            <w:r w:rsidDel="00000000" w:rsidR="00000000" w:rsidRPr="00000000">
              <w:rPr>
                <w:rFonts w:ascii="Times New Roman" w:cs="Times New Roman" w:eastAsia="Times New Roman" w:hAnsi="Times New Roman"/>
                <w:sz w:val="24"/>
                <w:szCs w:val="24"/>
                <w:rtl w:val="0"/>
              </w:rPr>
              <w:t xml:space="preserve"> та високим творчим потенціало</w:t>
            </w:r>
            <w:r w:rsidDel="00000000" w:rsidR="00000000" w:rsidRPr="00000000">
              <w:rPr>
                <w:rFonts w:ascii="Times New Roman" w:cs="Times New Roman" w:eastAsia="Times New Roman" w:hAnsi="Times New Roman"/>
                <w:sz w:val="24"/>
                <w:szCs w:val="24"/>
                <w:rtl w:val="0"/>
              </w:rPr>
              <w:t xml:space="preserve">м.</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4 – Придатність випускників до працевлаштування та подальшого навчання</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Придатність до працевлаштування</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Випускники програми придатні для працевлаштування  у сфері освіти.</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Згідно з </w:t>
            </w:r>
            <w:r w:rsidDel="00000000" w:rsidR="00000000" w:rsidRPr="00000000">
              <w:rPr>
                <w:rFonts w:ascii="Times New Roman" w:cs="Times New Roman" w:eastAsia="Times New Roman" w:hAnsi="Times New Roman"/>
                <w:sz w:val="24"/>
                <w:szCs w:val="24"/>
                <w:rtl w:val="0"/>
              </w:rPr>
              <w:t xml:space="preserve">Н</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аціональним класифікатором України ДК 009:2010 випускники можуть працювати за видами економічної діяльності: 85.31 Загальна середня освіта, 85.32 Професійно-технічна освіта, згідно з класифікатором професій України ДК 003:2010 випускники можуть працювати у галузі освіти за підкласами і групами: 2320 Викладачі закладів загальної середньої освіти, 2340 Вчителі спеціалізованих навчальних закладів, 2351 Професіонали в галузі методів навчання, 2359 Інші професіонали в галузі навчання, 3340 Асистент вчителя, 5131 Помічник вчителя, 2359.2 Педагог-організатор, 1229.6 Керівник гуртка, 2451.2 Редактор літературний, 4143 Коректор (коригування текстів).</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Подальше навчання</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Можливість навчання за освітньо-науковою та/або освітньо-професійною програмою другого (магістерського) рівня вищої освіти та набувати додаткових кваліфікацій в системі післядипломної освіти.</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 Викладання та оцінювання</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Викладання та навчання</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Використовується студентоцентроване, проблемно зорієнтоване, професійно зорієнтоване навчання, навчання через навчальну і педагогічну практику та самонавчання. Система методів навчання базується на принципах цілеспрямованості, бінарності – активної безпосередньої участі науково-педагогічного працівника і здобувача вищої освіти із застосуванням комунікативного й міждисциплінарного підходів.</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Форми організації освітнього процесу: лекція, семінарське, практичне заняття, практична підготовка, самостійна робота, консультація, розробка фахових проєктів (робіт).</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Оцінювання</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Екзамени, заліки, тести, есе, проєктні роботи, презентації, звіти.</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 Програмні компетентності</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Інтегральна компетентність</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(ІК)</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Здатність розв’язувати складні спеціалізовані задачі та практичні проблеми в галузі середньої освіти в процесі професійної діяльності або навчання, що передбачає застосування теорій та методів педагогічних і філологічних наук</w:t>
            </w:r>
            <w:r w:rsidDel="00000000" w:rsidR="00000000" w:rsidRPr="00000000">
              <w:rPr>
                <w:rFonts w:ascii="Times New Roman" w:cs="Times New Roman" w:eastAsia="Times New Roman" w:hAnsi="Times New Roman"/>
                <w:sz w:val="24"/>
                <w:szCs w:val="24"/>
                <w:rtl w:val="0"/>
              </w:rPr>
              <w:t xml:space="preserve"> (мовознавства, літературознавства, української мови і літератури, англійської мови і зарубіжної літератури, методики викладання української та англійської мов і літератур, викладання української мови як іноземної)</w:t>
            </w:r>
            <w:r w:rsidDel="00000000" w:rsidR="00000000" w:rsidRPr="00000000">
              <w:rPr>
                <w:rFonts w:ascii="Times New Roman" w:cs="Times New Roman" w:eastAsia="Times New Roman" w:hAnsi="Times New Roman"/>
                <w:sz w:val="24"/>
                <w:szCs w:val="24"/>
                <w:rtl w:val="0"/>
              </w:rPr>
              <w:t xml:space="preserve"> і характеризується комплексністю та невизначеністю умов.</w:t>
            </w:r>
            <w:r w:rsidDel="00000000" w:rsidR="00000000" w:rsidRPr="00000000">
              <w:rPr>
                <w:rtl w:val="0"/>
              </w:rPr>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компетентності</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w: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1</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діяти відповідально і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 міжособистісної взаємодії, роботи в команді та автономно, спілкування з представниками інших професійних груп різного рівня.</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та культурної ідентичності, творчого самовираження.</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w:t>
            </w:r>
            <w:r w:rsidDel="00000000" w:rsidR="00000000" w:rsidRPr="00000000">
              <w:rPr>
                <w:rFonts w:ascii="Times New Roman" w:cs="Times New Roman" w:eastAsia="Times New Roman" w:hAnsi="Times New Roman"/>
                <w:sz w:val="24"/>
                <w:szCs w:val="24"/>
                <w:rtl w:val="0"/>
              </w:rPr>
              <w:t xml:space="preserve"> ухвалювати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ефективн</w:t>
            </w:r>
            <w:r w:rsidDel="00000000" w:rsidR="00000000" w:rsidRPr="00000000">
              <w:rPr>
                <w:rFonts w:ascii="Times New Roman" w:cs="Times New Roman" w:eastAsia="Times New Roman" w:hAnsi="Times New Roman"/>
                <w:sz w:val="24"/>
                <w:szCs w:val="24"/>
                <w:rtl w:val="0"/>
              </w:rPr>
              <w:t xml:space="preserve">і</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рішен</w:t>
            </w:r>
            <w:r w:rsidDel="00000000" w:rsidR="00000000" w:rsidRPr="00000000">
              <w:rPr>
                <w:rFonts w:ascii="Times New Roman" w:cs="Times New Roman" w:eastAsia="Times New Roman" w:hAnsi="Times New Roman"/>
                <w:sz w:val="24"/>
                <w:szCs w:val="24"/>
                <w:rtl w:val="0"/>
              </w:rPr>
              <w:t xml:space="preserve">ня</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у професійній діяльності та відповідально став</w:t>
            </w:r>
            <w:r w:rsidDel="00000000" w:rsidR="00000000" w:rsidRPr="00000000">
              <w:rPr>
                <w:rFonts w:ascii="Times New Roman" w:cs="Times New Roman" w:eastAsia="Times New Roman" w:hAnsi="Times New Roman"/>
                <w:sz w:val="24"/>
                <w:szCs w:val="24"/>
                <w:rtl w:val="0"/>
              </w:rPr>
              <w:t xml:space="preserve">итись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обов’язків, мотивув</w:t>
            </w:r>
            <w:r w:rsidDel="00000000" w:rsidR="00000000" w:rsidRPr="00000000">
              <w:rPr>
                <w:rFonts w:ascii="Times New Roman" w:cs="Times New Roman" w:eastAsia="Times New Roman" w:hAnsi="Times New Roman"/>
                <w:sz w:val="24"/>
                <w:szCs w:val="24"/>
                <w:rtl w:val="0"/>
              </w:rPr>
              <w:t xml:space="preserve">ати</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людей до досягнення спільної мети.</w:t>
            </w:r>
          </w:p>
        </w:tc>
      </w:tr>
      <w:tr>
        <w:trPr>
          <w:cantSplit w:val="1"/>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 генерування нових ідей, виявлення та розв’язання проблем, ініціативності та підприємливості.</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 абстрактного мислення, аналізу та синтезу.</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системно аналізувати головні тенденції історичного розвитку українського народу, цінувати його культурно-історичні та морально-етичні надбання та сприяти вирішенню актуальних загальнодержавних і суспільних завдань.</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та технологій,  використовувати різні види та форми рухової активності для активного відпочинку та ведення здорового способу життя.</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вчитися </w:t>
            </w:r>
            <w:r w:rsidDel="00000000" w:rsidR="00000000" w:rsidRPr="00000000">
              <w:rPr>
                <w:rFonts w:ascii="Times New Roman" w:cs="Times New Roman" w:eastAsia="Times New Roman" w:hAnsi="Times New Roman"/>
                <w:sz w:val="24"/>
                <w:szCs w:val="24"/>
                <w:rtl w:val="0"/>
              </w:rPr>
              <w:t xml:space="preserve">та</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здобувати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сучасн</w:t>
            </w:r>
            <w:r w:rsidDel="00000000" w:rsidR="00000000" w:rsidRPr="00000000">
              <w:rPr>
                <w:rFonts w:ascii="Times New Roman" w:cs="Times New Roman" w:eastAsia="Times New Roman" w:hAnsi="Times New Roman"/>
                <w:sz w:val="24"/>
                <w:szCs w:val="24"/>
                <w:rtl w:val="0"/>
              </w:rPr>
              <w:t xml:space="preserve">і</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знання;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використовувати інформаційні та комунікаційні технології; застосовувати знання предметної області в практичних ситуаціях професійної діяльності.</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вільно спілкуватися державною мовою в її усній та писемній формах.</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11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спілкуватися іноземною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мовою у професійній діяльності, опрацьовувати фахову літературу іноземною мовою.</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ЗК 12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4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 пошуку, опрацювання та аналізу інформації з різних джерел, проведення досліджень на належному рівні.</w:t>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 w:right="-96" w:firstLine="1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Фахові компетентності</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Мовно-комунікативна компетентність:</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забезпечувати здобуття учнями освіти державною мовою;</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забезпечувати (за потреби) здобуття учнями освіти з урахуванням особливостей мовного середовища в закладі освіти (мова відповідного корінного народу або національної меншини України);</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забезпечувати навчання учнів української і іноземної мови, української мови в іншомовній</w:t>
            </w:r>
            <w:r w:rsidDel="00000000" w:rsidR="00000000" w:rsidRPr="00000000">
              <w:rPr>
                <w:rFonts w:ascii="Times New Roman" w:cs="Times New Roman" w:eastAsia="Times New Roman" w:hAnsi="Times New Roman"/>
                <w:sz w:val="24"/>
                <w:szCs w:val="24"/>
                <w:rtl w:val="0"/>
              </w:rPr>
              <w:t xml:space="preserve"> аудиторії</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та спілкуванн</w:t>
            </w:r>
            <w:r w:rsidDel="00000000" w:rsidR="00000000" w:rsidRPr="00000000">
              <w:rPr>
                <w:rFonts w:ascii="Times New Roman" w:cs="Times New Roman" w:eastAsia="Times New Roman" w:hAnsi="Times New Roman"/>
                <w:sz w:val="24"/>
                <w:szCs w:val="24"/>
                <w:rtl w:val="0"/>
              </w:rPr>
              <w:t xml:space="preserve">я</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рідною і іноземною мовою у професійному колі;</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вільно, гнучко та ефективно використовувати державну та іноземну мови в усній та писемних формах з метою виконання навчальних і професі</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йних завдань у різних ситуаціях спілкування;</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82"/>
                <w:tab w:val="left" w:leader="none" w:pos="920"/>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формувати та вдосконалювати власну та в учнів українськомовну та іншомовну комунікативну й міжкультурну компетентності</w:t>
            </w:r>
            <w:r w:rsidDel="00000000" w:rsidR="00000000" w:rsidRPr="00000000">
              <w:rPr>
                <w:rFonts w:ascii="Times New Roman" w:cs="Times New Roman" w:eastAsia="Times New Roman" w:hAnsi="Times New Roman"/>
                <w:sz w:val="24"/>
                <w:szCs w:val="24"/>
                <w:rtl w:val="0"/>
              </w:rPr>
              <w:t xml:space="preserve">, а </w:t>
            </w:r>
            <w:r w:rsidDel="00000000" w:rsidR="00000000" w:rsidRPr="00000000">
              <w:rPr>
                <w:rFonts w:ascii="Times New Roman" w:cs="Times New Roman" w:eastAsia="Times New Roman" w:hAnsi="Times New Roman"/>
                <w:sz w:val="24"/>
                <w:szCs w:val="24"/>
                <w:rtl w:val="0"/>
              </w:rPr>
              <w:t xml:space="preserve">під час навчання іноземців розвивати усі види мовленнєвої діяльності (говоріння, письмо, читання, аудіювання)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із застосуванням синхронного та діахронного принципів у світлі концепції нової українсько</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ї школи та сучасних європейських освітніх тенденцій.</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Предметно-методична компетентність:</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моделювати зміст навчання відповідно до результатів навчання учнів;</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формувати та розвивати в учнів ключові компетентності та вміння, спільні для всіх компетентностей;</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здійснювати інтегроване навчання учнів;</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добирати і використовувати сучасні т</w:t>
            </w:r>
            <w:r w:rsidDel="00000000" w:rsidR="00000000" w:rsidRPr="00000000">
              <w:rPr>
                <w:rFonts w:ascii="Times New Roman" w:cs="Times New Roman" w:eastAsia="Times New Roman" w:hAnsi="Times New Roman"/>
                <w:sz w:val="24"/>
                <w:szCs w:val="24"/>
                <w:rtl w:val="0"/>
              </w:rPr>
              <w:t xml:space="preserve">а</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ефективні методики, стратегії та технології навчання, виховання і розвитку учнів;</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розвивати в учнів критичне та креативне мислення;</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здійснювати оцінювання та моніторинг результатів навчання учнів на засадах компетентнісного підходу;</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формувати ціннісні ставлення в учнів;</w:t>
            </w:r>
          </w:p>
          <w:p w:rsidR="00000000" w:rsidDel="00000000" w:rsidP="00000000" w:rsidRDefault="00000000" w:rsidRPr="00000000" w14:paraId="000001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аналізувати</w:t>
            </w:r>
            <w:r w:rsidDel="00000000" w:rsidR="00000000" w:rsidRPr="00000000">
              <w:rPr>
                <w:rFonts w:ascii="Times New Roman" w:cs="Times New Roman" w:eastAsia="Times New Roman" w:hAnsi="Times New Roman"/>
                <w:sz w:val="24"/>
                <w:szCs w:val="24"/>
                <w:rtl w:val="0"/>
              </w:rPr>
              <w:t xml:space="preserve"> діалектні та соціальні різновиди української та іноземної мов</w:t>
            </w:r>
            <w:r w:rsidDel="00000000" w:rsidR="00000000" w:rsidRPr="00000000">
              <w:rPr>
                <w:rFonts w:ascii="Times New Roman" w:cs="Times New Roman" w:eastAsia="Times New Roman" w:hAnsi="Times New Roman"/>
                <w:sz w:val="24"/>
                <w:szCs w:val="24"/>
                <w:rtl w:val="0"/>
              </w:rPr>
              <w:t xml:space="preserve">, усвідомлено добирати, інтерпретувати та систематизувати мовні, літературні й фольклорні факти в синхронії і діахронії;</w:t>
            </w:r>
          </w:p>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здійснювати лінгвістичний, літературознавчий та комплексний філологічний аналіз українськомовних і іншомовних текстів різних стилів і жанрів та вільно володіти фаховою термінологією </w:t>
            </w:r>
            <w:r w:rsidDel="00000000" w:rsidR="00000000" w:rsidRPr="00000000">
              <w:rPr>
                <w:rFonts w:ascii="Times New Roman" w:cs="Times New Roman" w:eastAsia="Times New Roman" w:hAnsi="Times New Roman"/>
                <w:sz w:val="24"/>
                <w:szCs w:val="24"/>
                <w:rtl w:val="0"/>
              </w:rPr>
              <w:t xml:space="preserve">в галузі навчання української і англійської мови та літератури, української мови як іноземної</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застосовувати в професійній діяльн</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ості системні знання про основні періоди розвитку української та зарубіжної літератур від давнини до ХХІ століття, її чільних представників, простежувати еволюцію напрямів, жанрів і стилів у історико-культурному контексті, розуміти специфіку художніх явищ та аналізувати й створювати необхідний навчальний матеріал, який потребує лінгвістичної і літературознавчої компетентності;</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датність упроваджувати коригування та літературне редагування текстів українською та іноземною мовою, укладати різноманітні тексти українською та іноземною мовою, організовувати ділову комунікацію;</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датність гнучко й креативно застосовувати набуті знання фахових методик і досвід п</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едагогічної практики для моделювання професійної діяльності філолога-освітянина як такого загалом і вчителя-філолога в умовах нової української школи</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та в іншомовній аудиторії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зокрема.</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Інформаційно-цифрова компетентність:</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орієнтуватися в інформаційному просторі, здійснювати пошук, обробку й критичну оцінку інформації, необхідної для якісного виконання професійних завдань;</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ефективно використовувати наявні та створювати нові електронні (цифрові) освітні ресурси;</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використовувати цифрові технології в освітньому процесі;</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 співробітництва з використанням інформаційно-комунікаційних технологій для досягнення професійно значущих цілей;</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 розуміння етики роботи з інформацією щодо академічної доброчесності, інтелектуальної власності, авторського права тощо.</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Психологічна компетентність:</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визначати і враховувати в освітньому процесі вікові та інші індивідуальні особливості учнів;</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використовувати стратегії роботи з учнями, які сприяють розвитку їхньої позитивної самооцінки, я-ідентичності;</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формувати мотивацію учнів та організовувати їхню пізнавальну діяльність;</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формувати спільноту учнів, у якій кожен відчуває себе її частиною;</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виявляти набуту психологічну компетентність у роботі з учнями для правильного потрактування їхньої поведінки й педагогічних ситуацій.</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Емоційно-етична компетентність:</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усвідомлювати особисті відчуття, почуття та емоції, потреби, керувати власними емоційними станами;</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конструктивно та безпечно взаємодіяти з учасниками освітнього процесу;</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усвідомлювати та поціновувати взаємозалежність людей і систем у глобальному світі;</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формувати та розвивати емоційний інтелект.</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Компетентність педагогічного партнерства:</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 суб’єкт-суб’єктної (рівноправної та особистісно орієнтованої) взаємодії з учнями в освітньому процесі;</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залучати батьків до освітнього процесу на засадах партнерства;</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працювати в команді із залученими фахівцями,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асистентами вчителя для надання додаткової підтримки особам з особливими освітніми потребами.</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Інклюзивна компетентність:</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створювати сприятливі умови, що забезпечують функціонування інклюзивного освітнього середовища;</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до педагогічної підтримки осіб з особливими освітніми потребами;</w:t>
            </w: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забезпечувати в освітньому середовищі сприятливі умови для кожного учня, залежно від його індивідуальних потреб, можливостей, здібностей та інтересів.</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Здоров’язбережувальна компетентність:</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організовувати безпечне освітнє середовище, використовувати здоров’язбережувальні технології під час освітнього процесу;</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здійснювати профілактично-просвітницьку роботу з учнями та іншими учасниками освітнього процесу щодо безпеки життєдіяльності, санітарії та гігієни;</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формувати в учнів культуру здорового та безпечного життя;</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зберігати особисте фізичне та психічне здоров’я під час професійної діяльності;</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надавати домедичну допомогу учасникам освітнього процесу.</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Проєктувальна компетентність:</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проєктувати осередки навчання, виховання і розвитку учнів;</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проєктувати навчально-виховний процес, а також власний науковий пошук і елементи наукової роботи учнів.</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Прогностична компетентність:</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прогнозувати результати освітнього процесу;</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планувати та гнучко коригувати освітній процес.</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11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Організаційна компетентність:</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організовувати процес навчання, виховання і розвитку учнів;</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організовувати різні види і форми навчальної та пізнавальної діяльності учнів.</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12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Оцінювально-аналітична компетентність:</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здійснювати оцінювання результатів навчання учнів;</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аналізувати результати навчання учнів;</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забезпечувати самооцінювання та взаємооцінювання результатів навчання учнів.</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13</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Інноваційна компетентність:</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застосовувати наукові методи пізнання в освітньому процесі;</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використовувати інновації у професійній діяльності;</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застосовувати різноманітні підходи до розв’язання проблем у педагогічній діяльності;</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розробляти модель системи розвитку автономності учнів в умовах нової української школи</w:t>
            </w:r>
            <w:r w:rsidDel="00000000" w:rsidR="00000000" w:rsidRPr="00000000">
              <w:rPr>
                <w:rFonts w:ascii="Times New Roman" w:cs="Times New Roman" w:eastAsia="Times New Roman" w:hAnsi="Times New Roman"/>
                <w:sz w:val="24"/>
                <w:szCs w:val="24"/>
                <w:rtl w:val="0"/>
              </w:rPr>
              <w:t xml:space="preserve"> та іншомовної аудиторії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урахуванням сучасних європейських освітніх тенденцій.</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Компетентність навчання впродовж життя:</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визначати умови та ресурси власного професійного розвитку впродовж життя;</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взаємодіяти з іншими вчителями на засадах партнерства та підтримки;</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здатність до інтелектуальної мобільності як інтегративної якості особистості, що характеризує наявність стійкого інтересу до інтелектуальної діяльності у фахівця, вільне володіння пізнавальними процесами і стратегіями виконання в інтелектуальній діяльності, здатність до саморегуляції інтелектуальної діяльності, прояв адаптивно важливих особистісних якостей, як-от: комунікабельності, толерантності, наполегливості у досягненні мети.</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ФК 15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Рефлексивна компетентність:</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здійснювати моніторинг власної навчальної/педагогічної діяльності та визначати індивідуальні навчальні/професійні потреби;</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переосмислювати особистісний</w:t>
            </w:r>
            <w:r w:rsidDel="00000000" w:rsidR="00000000" w:rsidRPr="00000000">
              <w:rPr>
                <w:rFonts w:ascii="Times New Roman" w:cs="Times New Roman" w:eastAsia="Times New Roman" w:hAnsi="Times New Roman"/>
                <w:sz w:val="24"/>
                <w:szCs w:val="24"/>
                <w:rtl w:val="0"/>
              </w:rPr>
              <w:t xml:space="preserve"> і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професійний досвід, що сприяє формуванню нових професійних еталонів і стандартів, які стимулюють розвиток;</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здатність визнавати значущість рефлексивної діяльності, здійснювати її цілісний науково-методологічний аналіз та моделювання.</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 Програмні результати навчання</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Знання та розуміння:</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Знати чинні нормативно-правові документи, законодавство, галузеві стандарти професійної діяльності в установах та організаціях галузі освіти.</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ПРН 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Знати мову як системно-структурне утворення, художню літературу як мистецтво слова та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надбання національної та світової літературної спадщини</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норми української та іноземної літературної мови, принципи, стратегії, прийоми й функціональні особливості створення, коригування й редагування усних і письмових текстів різних жанрів і стилів, культуру мовлення й особливості застосування норм літературної мови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для розв’язання різноманітних освітньо-комунікативних завдань практичної діяльності вчителя української мови і літератури, англійської мови і </w:t>
            </w:r>
            <w:r w:rsidDel="00000000" w:rsidR="00000000" w:rsidRPr="00000000">
              <w:rPr>
                <w:rFonts w:ascii="Times New Roman" w:cs="Times New Roman" w:eastAsia="Times New Roman" w:hAnsi="Times New Roman"/>
                <w:sz w:val="24"/>
                <w:szCs w:val="24"/>
                <w:rtl w:val="0"/>
              </w:rPr>
              <w:t xml:space="preserve">зарубіжної</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літератури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української мови як іноземної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та для донесення професійних знань, обґрунтувань і висновків до фахівців і широкої спільноти українською </w:t>
            </w:r>
            <w:r w:rsidDel="00000000" w:rsidR="00000000" w:rsidRPr="00000000">
              <w:rPr>
                <w:rFonts w:ascii="Times New Roman" w:cs="Times New Roman" w:eastAsia="Times New Roman" w:hAnsi="Times New Roman"/>
                <w:sz w:val="24"/>
                <w:szCs w:val="24"/>
                <w:rtl w:val="0"/>
              </w:rPr>
              <w:t xml:space="preserve">та</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іноземною мовами.</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ПРН 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Знати основи фундаментальних і прикладних наук, педагогіки й психології у синхронно-діахронному вимірі на рівні, що забезпечує досягнення результатів навчання, які передбачені навчальною програмою, та подальшу успішну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професійну діяльність вчителя-філолога в умовах сучасних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українськомовних </w:t>
            </w:r>
            <w:r w:rsidDel="00000000" w:rsidR="00000000" w:rsidRPr="00000000">
              <w:rPr>
                <w:rFonts w:ascii="Times New Roman" w:cs="Times New Roman" w:eastAsia="Times New Roman" w:hAnsi="Times New Roman"/>
                <w:sz w:val="24"/>
                <w:szCs w:val="24"/>
                <w:rtl w:val="0"/>
              </w:rPr>
              <w:t xml:space="preserve">та іншомовних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закладів середньої освіти</w:t>
            </w:r>
            <w:r w:rsidDel="00000000" w:rsidR="00000000" w:rsidRPr="00000000">
              <w:rPr>
                <w:rFonts w:ascii="Times New Roman" w:cs="Times New Roman" w:eastAsia="Times New Roman" w:hAnsi="Times New Roman"/>
                <w:sz w:val="24"/>
                <w:szCs w:val="24"/>
                <w:rtl w:val="0"/>
              </w:rPr>
              <w:t xml:space="preserve"> і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організацій неформальної освіти.</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Застосування знань та розумінь (уміння):</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Вміти моделювати зміст навчання відповідно до результатів навчання учнів; гнучко реагувати на освітні виклики; аналізувати, оцінювати ризики та оперативно розв’язувати проблеми у професійній діяльності; аналізувати й готувати необхідний навчальний матеріал, формувати та розвивати в учнів ключові компетентності; вміти здійснювати інтегроване навчання учнів; впроваджувати навчальні та розвивальні проєкти.</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Бути здатним самостійно знаходити, обробляти та застосовувати інформаційно-комунікаційні технології й цифрові ресурси для розв’язання професійних завдань.</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Застосовувати знання планування, організації та здійснення освітнього процесу з урахуванням психологічних і фізіологічних особливостей учнів, забезпечувати коригування освітнього процесу задля реалізації індивідуальних освітніх траєкторій здобувачів; створення умов функціонування інклюзивного освітнього середовища.</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Усвідомлювати й аналізувати особисті відчуття, почуття та емоції, потреби, керувати власними емоційними станами; вміти ефективно емпатійно взаємодіяти з учасниками освітнього процесу; формувати та розвивати емоційний інтелект.</w:t>
            </w:r>
          </w:p>
        </w:tc>
      </w:tr>
      <w:tr>
        <w:trPr>
          <w:cantSplit w:val="1"/>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Взаємодіяти конструктивно на засадах партнерства з учасниками освітнього процесу, батьками, іншими фахівцями; дотримуватися принципу рівних можливостей і гендерного паритету у професійній діяльності.</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Дбати про емоційне, психічне, фізичне й соціальне здоров’я, пропагувати та вести здоровий спосіб життя; дотримуватися стандартів професійної етики; уміти застосовувати прийоми попередження і протидії булінгу.</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Демонструвати вміння й навички проєктування й організації ефективного освітнього процесу, власної наукової діяльності та пошукової роботи учнів.</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11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Здійснювати об’єктивне оцінювання результатів навчання учнів та їх аналіз, забезпечувати самооцінювання та взаємооцінювання результатів навчання.</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widowControl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Демонструвати навички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лінгвістичного та літературознавчого аналізу й інтерпретації творів української та зарубіжної художньої літератури й усної народної творчості з вільним володінням фаховою термінологією задля визначення їхньої специфіки й місця в національному та світовому літературному процесі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 метою творчого застосування у професійній діяльності.</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Формування суджень:</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13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Застосовувати наукові методи пізнання в освітньому процесі; аналізувати й використовувати педагогічні інновації та різноманітні підходи до </w:t>
            </w:r>
            <w:r w:rsidDel="00000000" w:rsidR="00000000" w:rsidRPr="00000000">
              <w:rPr>
                <w:rFonts w:ascii="Times New Roman" w:cs="Times New Roman" w:eastAsia="Times New Roman" w:hAnsi="Times New Roman"/>
                <w:sz w:val="24"/>
                <w:szCs w:val="24"/>
                <w:rtl w:val="0"/>
              </w:rPr>
              <w:t xml:space="preserve">розв’язання проблем</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у професійній діяльності з метою підвищення ефективності та результативності освітнього процесу й розробки моделі системи розвитку автономності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учнів в умовах нової української школи</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та іншомовної аудиторії</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з урахуванням сучасних європейських освітніх тенденцій.</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14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5"/>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Здійснювати моніторинг власної навчальної/педагогічної діяльності та визначати індивідуальні навчальні/професійні потреби, бути спроможним переосмислювати особистісний та професійний досвід з метою самовдосконалення; визначати умови та ресурси власного професійного розвитку впродовж життя; формувати та розвивати</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інтелектуальну мобільність як інтегративну якість особистості, що характеризує стійкий інтерес до інтелектуальної діяльності та здатність до сучасних суспільних трансформацій.</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ПРН 15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widowControl w:val="0"/>
              <w:tabs>
                <w:tab w:val="left" w:leader="none" w:pos="24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Застосовувати зібрані, проаналізовані, систематизовані й інтерпретовані факти мови й мовлення</w:t>
            </w:r>
            <w:r w:rsidDel="00000000" w:rsidR="00000000" w:rsidRPr="00000000">
              <w:rPr>
                <w:rFonts w:ascii="Times New Roman" w:cs="Times New Roman" w:eastAsia="Times New Roman" w:hAnsi="Times New Roman"/>
                <w:sz w:val="24"/>
                <w:szCs w:val="24"/>
                <w:rtl w:val="0"/>
              </w:rPr>
              <w:t xml:space="preserve"> задля </w:t>
            </w:r>
            <w:r w:rsidDel="00000000" w:rsidR="00000000" w:rsidRPr="00000000">
              <w:rPr>
                <w:rFonts w:ascii="Times New Roman" w:cs="Times New Roman" w:eastAsia="Times New Roman" w:hAnsi="Times New Roman"/>
                <w:sz w:val="24"/>
                <w:szCs w:val="24"/>
                <w:rtl w:val="0"/>
              </w:rPr>
              <w:t xml:space="preserve">трактування зв’язку між ними і теоретичними висновками, що з них випливають</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у професійній діяльності філолога-освітянина загалом і вчителя-</w:t>
            </w:r>
            <w:r w:rsidDel="00000000" w:rsidR="00000000" w:rsidRPr="00000000">
              <w:rPr>
                <w:rFonts w:ascii="Times New Roman" w:cs="Times New Roman" w:eastAsia="Times New Roman" w:hAnsi="Times New Roman"/>
                <w:sz w:val="24"/>
                <w:szCs w:val="24"/>
                <w:rtl w:val="0"/>
              </w:rPr>
              <w:t xml:space="preserve">мовознавця</w:t>
            </w:r>
            <w:r w:rsidDel="00000000" w:rsidR="00000000" w:rsidRPr="00000000">
              <w:rPr>
                <w:rFonts w:ascii="Times New Roman" w:cs="Times New Roman" w:eastAsia="Times New Roman" w:hAnsi="Times New Roman"/>
                <w:sz w:val="24"/>
                <w:szCs w:val="24"/>
                <w:rtl w:val="0"/>
              </w:rPr>
              <w:t xml:space="preserve"> в умовах нової української школи </w:t>
            </w:r>
            <w:r w:rsidDel="00000000" w:rsidR="00000000" w:rsidRPr="00000000">
              <w:rPr>
                <w:rFonts w:ascii="Times New Roman" w:cs="Times New Roman" w:eastAsia="Times New Roman" w:hAnsi="Times New Roman"/>
                <w:sz w:val="24"/>
                <w:szCs w:val="24"/>
                <w:rtl w:val="0"/>
              </w:rPr>
              <w:t xml:space="preserve">та іншомовної аудиторії </w:t>
            </w:r>
            <w:r w:rsidDel="00000000" w:rsidR="00000000" w:rsidRPr="00000000">
              <w:rPr>
                <w:rFonts w:ascii="Times New Roman" w:cs="Times New Roman" w:eastAsia="Times New Roman" w:hAnsi="Times New Roman"/>
                <w:sz w:val="24"/>
                <w:szCs w:val="24"/>
                <w:rtl w:val="0"/>
              </w:rPr>
              <w:t xml:space="preserve">зокрема.</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8 – Ресурсне забезпечення реалізації програми</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Кадрове забезпечення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6"/>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 управлінської / інноваційної / творчої роботи та/або роботи за фахом.</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Матеріально-технічне забезпечення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1"/>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Матеріально-технічне забезпечення дозволяє повністю забезпечити освітній процес протягом всього циклу підготовки за освітньою програмою.</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Стан приміщень засвідчено санітарно-технічними паспортами, що відповідають чинним нормативним актам.</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Інформаційне та навчально-методичне забезпечення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 Академічна мобільність</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Національна кредитна мобільність</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Передбачає можливість національної кредитної мобільності за деякими освітніми компонентами, що забезпечують набуття загальних та фахових компетентностей.</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Міжнародна кредитна мобільність</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Програма розвиває перспективи участі та стажування у науково-дослідних проєктах та програмах академічної мобільності в Україні та за кордоном. Виконується в активному дослідницькому середовищі.</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Навчання іноземних здобувачів вищої освіти</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Навчання іноземних здобувачів вищої освіти здійснюється за акредитованими освітніми програмами відповідно до чинного законодавства України </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сфері вищої освіти.</w:t>
            </w:r>
          </w:p>
        </w:tc>
      </w:tr>
    </w:tbl>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Перелік компонентів освітньо-професійної програми та їх логічна послідовність</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Перелік компонентів освітньо-професійної програми першого (бакалаврського) рівня вищої освіти</w:t>
      </w:r>
    </w:p>
    <w:tbl>
      <w:tblPr>
        <w:tblStyle w:val="Table2"/>
        <w:tblW w:w="9666.0" w:type="dxa"/>
        <w:jc w:val="left"/>
        <w:tblInd w:w="-111.00000000000001" w:type="dxa"/>
        <w:tblLayout w:type="fixed"/>
        <w:tblLook w:val="0000"/>
      </w:tblPr>
      <w:tblGrid>
        <w:gridCol w:w="964"/>
        <w:gridCol w:w="5953"/>
        <w:gridCol w:w="1069"/>
        <w:gridCol w:w="1680"/>
        <w:tblGridChange w:id="0">
          <w:tblGrid>
            <w:gridCol w:w="964"/>
            <w:gridCol w:w="5953"/>
            <w:gridCol w:w="1069"/>
            <w:gridCol w:w="1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Компоненти освітньої програми (навчальні дисципліни, курсові роботи (проєкти), практики, кваліфікаційна робота)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Кількість кредитів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Форма підсумкового контролю</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Обов’язкові компоненти освітньої програми</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Цикл загальної підготовки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Українська державність: історія і сучасність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Українська та зарубіжна культура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Філософія, політологія та соціологія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Фізичне виховання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 з циклу</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r>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Цикл професійної підготовки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Ділова українська мова в перекладацькому аспекті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6</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Загальне мовознавство</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7</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Літературознавство</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sz w:val="24"/>
                <w:szCs w:val="24"/>
                <w:rtl w:val="0"/>
              </w:rPr>
              <w:t xml:space="preserve">залік</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Латинська і старослов</w:t>
            </w:r>
            <w:r w:rsidDel="00000000" w:rsidR="00000000" w:rsidRPr="00000000">
              <w:rPr>
                <w:rFonts w:ascii="Times New Roman" w:cs="Times New Roman" w:eastAsia="Times New Roman" w:hAnsi="Times New Roman"/>
                <w:sz w:val="24"/>
                <w:szCs w:val="24"/>
                <w:rtl w:val="0"/>
              </w:rPr>
              <w:t xml:space="preserve">’янська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Сучасна українська літературна мова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Практикум з української мови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Істор</w:t>
            </w:r>
            <w:r w:rsidDel="00000000" w:rsidR="00000000" w:rsidRPr="00000000">
              <w:rPr>
                <w:rFonts w:ascii="Times New Roman" w:cs="Times New Roman" w:eastAsia="Times New Roman" w:hAnsi="Times New Roman"/>
                <w:sz w:val="24"/>
                <w:szCs w:val="24"/>
                <w:rtl w:val="0"/>
              </w:rPr>
              <w:t xml:space="preserve">ія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української мови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Фольклор та українська література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Методика викладання української мови </w:t>
            </w:r>
            <w:r w:rsidDel="00000000" w:rsidR="00000000" w:rsidRPr="00000000">
              <w:rPr>
                <w:rFonts w:ascii="Times New Roman" w:cs="Times New Roman" w:eastAsia="Times New Roman" w:hAnsi="Times New Roman"/>
                <w:sz w:val="24"/>
                <w:szCs w:val="24"/>
                <w:rtl w:val="0"/>
              </w:rPr>
              <w:t xml:space="preserve">і</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літератури та української мови як іноземної</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14</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Практика англійської мови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Фонетика та граматика англійської мови</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залік</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16</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Лексикологія та стилістика англійської мови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17</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Історія англійської мови</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екзамен</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F7">
            <w:pPr>
              <w:rPr/>
            </w:pPr>
            <w:r w:rsidDel="00000000" w:rsidR="00000000" w:rsidRPr="00000000">
              <w:rPr>
                <w:rFonts w:ascii="Times New Roman" w:cs="Times New Roman" w:eastAsia="Times New Roman" w:hAnsi="Times New Roman"/>
                <w:sz w:val="24"/>
                <w:szCs w:val="24"/>
                <w:rtl w:val="0"/>
              </w:rPr>
              <w:t xml:space="preserve">ОК 18</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Зарубіжна література та література англомовних країн</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FB">
            <w:pPr>
              <w:rPr/>
            </w:pPr>
            <w:r w:rsidDel="00000000" w:rsidR="00000000" w:rsidRPr="00000000">
              <w:rPr>
                <w:rFonts w:ascii="Times New Roman" w:cs="Times New Roman" w:eastAsia="Times New Roman" w:hAnsi="Times New Roman"/>
                <w:sz w:val="24"/>
                <w:szCs w:val="24"/>
                <w:rtl w:val="0"/>
              </w:rPr>
              <w:t xml:space="preserve">ОК 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Методика викладання англійської мови та зарубіжної літератури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20</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Педагогіка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інклюзивна освіта та ІКТ в освітньому процесі</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3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вікова та соціальна психологія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24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 з циклу</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141</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Практична підготовка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Навчальна практика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Педагогічна практика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Всього з циклу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Загальний обсяг обов’язкових компонентів</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180</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Вибіркові компоненти освітньої програми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ДВВС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 вільного вибору здобувача вищої освіти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Загальний обсяг вибіркових компонентів</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ЗАГАЛЬНИЙ ОБСЯГ ОСВІТНЬОЇ ПРОГРАМИ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240</w:t>
            </w:r>
          </w:p>
        </w:tc>
      </w:tr>
    </w:tbl>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Навчальна дисципліна позакредитна </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3, 4 семестрах</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orient="portrait"/>
          <w:pgMar w:bottom="851" w:top="851" w:left="1418" w:right="851" w:header="0" w:footer="0"/>
          <w:pgNumType w:start="1"/>
        </w:sectPr>
      </w:pPr>
      <w:r w:rsidDel="00000000" w:rsidR="00000000" w:rsidRPr="00000000">
        <w:rPr>
          <w:rtl w:val="0"/>
        </w:rPr>
      </w:r>
    </w:p>
    <w:p w:rsidR="00000000" w:rsidDel="00000000" w:rsidP="00000000" w:rsidRDefault="00000000" w:rsidRPr="00000000" w14:paraId="00000331">
      <w:pPr>
        <w:rPr/>
        <w:sectPr>
          <w:type w:val="nextPage"/>
          <w:pgSz w:h="11906" w:w="16838" w:orient="landscape"/>
          <w:pgMar w:bottom="851" w:top="851" w:left="851" w:right="851" w:header="0" w:footer="0"/>
        </w:sectPr>
      </w:pPr>
      <w:r w:rsidDel="00000000" w:rsidR="00000000" w:rsidRPr="00000000">
        <w:rPr/>
        <w:drawing>
          <wp:inline distB="114300" distT="114300" distL="114300" distR="114300">
            <wp:extent cx="9611230" cy="67945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611230" cy="6794500"/>
                    </a:xfrm>
                    <a:prstGeom prst="rect"/>
                    <a:ln/>
                  </pic:spPr>
                </pic:pic>
              </a:graphicData>
            </a:graphic>
          </wp:inline>
        </w:drawing>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Форма атестації здобувачів вищої освіти</w:t>
      </w:r>
    </w:p>
    <w:tbl>
      <w:tblPr>
        <w:tblStyle w:val="Table3"/>
        <w:tblW w:w="9753.0" w:type="dxa"/>
        <w:jc w:val="left"/>
        <w:tblInd w:w="-111.00000000000001" w:type="dxa"/>
        <w:tblLayout w:type="fixed"/>
        <w:tblLook w:val="0000"/>
      </w:tblPr>
      <w:tblGrid>
        <w:gridCol w:w="2809"/>
        <w:gridCol w:w="6944"/>
        <w:tblGridChange w:id="0">
          <w:tblGrid>
            <w:gridCol w:w="2809"/>
            <w:gridCol w:w="6944"/>
          </w:tblGrid>
        </w:tblGridChange>
      </w:tblGrid>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Форми атестації здобувачів вищої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Атестація випускника освітньої програми проводиться у формі атестаційного екзамену.</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Документ про вищу освіту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бакалавра із прис</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воєнням освітньої кваліфікації: бакалавр середньої освіти, вчитель української мови і літератури,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вчитель українс</w:t>
            </w:r>
            <w:r w:rsidDel="00000000" w:rsidR="00000000" w:rsidRPr="00000000">
              <w:rPr>
                <w:rFonts w:ascii="Times New Roman" w:cs="Times New Roman" w:eastAsia="Times New Roman" w:hAnsi="Times New Roman"/>
                <w:sz w:val="24"/>
                <w:szCs w:val="24"/>
                <w:rtl w:val="0"/>
              </w:rPr>
              <w:t xml:space="preserve">ької мови як іноземної,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вчитель англійської мови і</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зарубіжної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літератури 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світньо-професійної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програми Українська мова і література та англійські філологічні студії.</w:t>
            </w:r>
          </w:p>
        </w:tc>
      </w:tr>
    </w:tbl>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fob9te" w:id="1"/>
      <w:bookmarkEnd w:id="1"/>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Матриця відповідності програмних компетентностей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компонентам освітньої програми</w:t>
      </w:r>
      <w:r w:rsidDel="00000000" w:rsidR="00000000" w:rsidRPr="00000000">
        <w:rPr>
          <w:rtl w:val="0"/>
        </w:rPr>
      </w:r>
    </w:p>
    <w:tbl>
      <w:tblPr>
        <w:tblStyle w:val="Table4"/>
        <w:tblW w:w="9756.000000000002" w:type="dxa"/>
        <w:jc w:val="left"/>
        <w:tblInd w:w="-111.00000000000001" w:type="dxa"/>
        <w:tblLayout w:type="fixed"/>
        <w:tblLook w:val="0000"/>
      </w:tblPr>
      <w:tblGrid>
        <w:gridCol w:w="966"/>
        <w:gridCol w:w="325"/>
        <w:gridCol w:w="326"/>
        <w:gridCol w:w="326"/>
        <w:gridCol w:w="324"/>
        <w:gridCol w:w="325"/>
        <w:gridCol w:w="326"/>
        <w:gridCol w:w="325"/>
        <w:gridCol w:w="326"/>
        <w:gridCol w:w="326"/>
        <w:gridCol w:w="325"/>
        <w:gridCol w:w="326"/>
        <w:gridCol w:w="326"/>
        <w:gridCol w:w="325"/>
        <w:gridCol w:w="326"/>
        <w:gridCol w:w="326"/>
        <w:gridCol w:w="327"/>
        <w:gridCol w:w="326"/>
        <w:gridCol w:w="326"/>
        <w:gridCol w:w="325"/>
        <w:gridCol w:w="326"/>
        <w:gridCol w:w="326"/>
        <w:gridCol w:w="325"/>
        <w:gridCol w:w="326"/>
        <w:gridCol w:w="326"/>
        <w:gridCol w:w="325"/>
        <w:gridCol w:w="326"/>
        <w:gridCol w:w="323"/>
        <w:tblGridChange w:id="0">
          <w:tblGrid>
            <w:gridCol w:w="966"/>
            <w:gridCol w:w="325"/>
            <w:gridCol w:w="326"/>
            <w:gridCol w:w="326"/>
            <w:gridCol w:w="324"/>
            <w:gridCol w:w="325"/>
            <w:gridCol w:w="326"/>
            <w:gridCol w:w="325"/>
            <w:gridCol w:w="326"/>
            <w:gridCol w:w="326"/>
            <w:gridCol w:w="325"/>
            <w:gridCol w:w="326"/>
            <w:gridCol w:w="326"/>
            <w:gridCol w:w="325"/>
            <w:gridCol w:w="326"/>
            <w:gridCol w:w="326"/>
            <w:gridCol w:w="327"/>
            <w:gridCol w:w="326"/>
            <w:gridCol w:w="326"/>
            <w:gridCol w:w="325"/>
            <w:gridCol w:w="326"/>
            <w:gridCol w:w="326"/>
            <w:gridCol w:w="325"/>
            <w:gridCol w:w="326"/>
            <w:gridCol w:w="326"/>
            <w:gridCol w:w="325"/>
            <w:gridCol w:w="326"/>
            <w:gridCol w:w="323"/>
          </w:tblGrid>
        </w:tblGridChange>
      </w:tblGrid>
      <w:tr>
        <w:trPr>
          <w:cantSplit w:val="1"/>
          <w:trHeight w:val="8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5</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ЗК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rtl w:val="0"/>
              </w:rPr>
              <w:t xml:space="preserve">З</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К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ФК 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3">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E">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0">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8</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2">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3">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5">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6">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7">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9">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4">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5">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w:t>
            </w: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8">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2</w:t>
            </w: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6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2</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88">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D">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336.972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ОК 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336.972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2</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bl>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Матриця забезпечення програмних результатів навчання відповідними компонентами освітньої програми</w:t>
      </w:r>
    </w:p>
    <w:tbl>
      <w:tblPr>
        <w:tblStyle w:val="Table5"/>
        <w:tblW w:w="9748.0" w:type="dxa"/>
        <w:jc w:val="left"/>
        <w:tblInd w:w="-111.00000000000001" w:type="dxa"/>
        <w:tblLayout w:type="fixed"/>
        <w:tblLook w:val="0000"/>
      </w:tblPr>
      <w:tblGrid>
        <w:gridCol w:w="1095"/>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tblGridChange w:id="0">
          <w:tblGrid>
            <w:gridCol w:w="1095"/>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gridCol w:w="576.8666666666667"/>
          </w:tblGrid>
        </w:tblGridChange>
      </w:tblGrid>
      <w:tr>
        <w:trPr>
          <w:cantSplit w:val="1"/>
          <w:trHeight w:val="10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ПРН 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8</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w:t>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jc w:val="center"/>
              <w:rPr>
                <w:rFonts w:ascii="Times New Roman" w:cs="Times New Roman" w:eastAsia="Times New Roman" w:hAnsi="Times New Roman"/>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1</w:t>
            </w: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w:t>
            </w: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2</w:t>
            </w:r>
            <w:r w:rsidDel="00000000" w:rsidR="00000000" w:rsidRPr="00000000">
              <w:rPr>
                <w:rFonts w:ascii="Times New Roman" w:cs="Times New Roman" w:eastAsia="Times New Roman" w:hAnsi="Times New Roman"/>
                <w:b w:val="1"/>
                <w:sz w:val="24"/>
                <w:szCs w:val="2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2C">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2</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2E">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0">
            <w:pPr>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1">
            <w:pPr>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sz w:val="24"/>
                <w:szCs w:val="24"/>
                <w:rtl w:val="0"/>
              </w:rPr>
              <w:t xml:space="preserve">ОК 22</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1f497d"/>
                <w:sz w:val="28"/>
                <w:szCs w:val="28"/>
                <w:u w:val="none"/>
                <w:vertAlign w:val="baseline"/>
              </w:rPr>
            </w:pPr>
            <w:r w:rsidDel="00000000" w:rsidR="00000000" w:rsidRPr="00000000">
              <w:rPr>
                <w:rFonts w:ascii="Times New Roman" w:cs="Times New Roman" w:eastAsia="Times New Roman" w:hAnsi="Times New Roman"/>
                <w:color w:val="1f497d"/>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ОК 2</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p>
        </w:tc>
      </w:tr>
    </w:tbl>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sectPr>
      <w:type w:val="nextPage"/>
      <w:pgSz w:h="16838" w:w="11906" w:orient="portrait"/>
      <w:pgMar w:bottom="851" w:top="851" w:left="1418" w:right="851"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