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ПРОЄКТ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  <w:rtl w:val="0"/>
        </w:rPr>
        <w:t xml:space="preserve">МІНІСТЕРСТВО ОСВІТИ І НАУКИ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  <w:rtl w:val="0"/>
        </w:rPr>
        <w:t xml:space="preserve">КИЇВСЬКИЙ НАЦІОНАЛЬНИЙ УНІВЕРСИТЕТ ТЕХНОЛОГІЙ ТА ДИЗАЙНУ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ЗАТВЕРДЖЕНО ВЧЕНОЮ РАДОЮ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Голова Вченої ради КНУТД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 Іван ГРИЩЕНКО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  </w:t>
        <w:tab/>
        <w:t xml:space="preserve">  </w:t>
        <w:tab/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Протокол від «__» _______2022 року №___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ОСВІТНЬО-ПРОФЕСІЙНА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                                            ГРАФІЧНИЙ ДИЗАЙН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Рівень вищої освіти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перший (бакалаврський)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Ступінь  вищої освіти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бакалавр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Галузь знань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02 Культура і мистецтво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Спеціальність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022 Дизайн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Кваліфікація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бакалавр дизайну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Київ 2022 р.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ЛИСТ ПОГОДЖЕННЯ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Освітньо-професійної програми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Графічний дизайн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Рівень вищої освіти  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перший бакалаврський_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Ступінь вищої освіти  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бакалавр_____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Галузь знань   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02 Культура та мистецтво__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Спеціальність   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022 Дизайн 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Проректор з науково-педагогічної діяльності (освітня діяльність)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________________          ______________________     Оксана МОРГУЛЕЦЬ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дата                                         підпис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Схвалено Вченою Радою факультету ______Дизайну__________________________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____  ________________  2022 року №  _____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Декан факультету Дизайну    ________________________________   Оксана ПАСЬКО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Обговорено та рекомендовано на засіданні кафедри  графічного дизайну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 ____       ______________  2022 року №  ____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Завідувач кафедри графічного дизайну ____________________________   Євген ГУЛА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Гарант освітньої програми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         ________________________  Олександра КОЛІСНИК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Введено в дію наказом КНУТД від «_____»__________________2022року , №______                            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  <w:rtl w:val="0"/>
        </w:rPr>
        <w:t xml:space="preserve">ПЕРЕДМОВА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РОЗРОБЛЕНО: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Київський національний університет технологій та дизайну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РОЗРОБНИКИ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Гарант освітньої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Колісник Олександра Володимирівна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д-р філос. н., професор, професор кафедри  графічного дизайну Київського національного університету технологій та дизайну.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Члени робочої групи: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Подлевський Святослав Володимирович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к.іст.н., викладач кафедри графічного дизайну Київського національного університету технологій та дизайну;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Шевченко Анна Ігорівна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к.пед.н., викладач кафедри графічного дизайну Київського національного університету технологій та дизайну;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Рибак Катерина Миколаївна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студентка 4 курсу  кафедри  графічного дизайну Київського національного університету технологій та дизайну;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Самсонідзе Марія Сергіївна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студентка 3 курсу  кафедри  графічного дизайну Київського національного університету технологій та дизайну.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РЕЦЕНЗІЇ ЗОВНІШНІХ СТЕЙКХОЛДЕРІВ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Профіль освітньо-професійної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Графічний дизайн</w:t>
      </w: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"/>
        <w:gridCol w:w="1358"/>
        <w:gridCol w:w="8"/>
        <w:gridCol w:w="276"/>
        <w:gridCol w:w="567"/>
        <w:gridCol w:w="142"/>
        <w:gridCol w:w="6459"/>
        <w:tblGridChange w:id="0">
          <w:tblGrid>
            <w:gridCol w:w="1018"/>
            <w:gridCol w:w="1358"/>
            <w:gridCol w:w="8"/>
            <w:gridCol w:w="276"/>
            <w:gridCol w:w="567"/>
            <w:gridCol w:w="142"/>
            <w:gridCol w:w="6459"/>
          </w:tblGrid>
        </w:tblGridChange>
      </w:tblGrid>
      <w:tr>
        <w:trPr>
          <w:cantSplit w:val="0"/>
          <w:trHeight w:val="1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 – Загальна 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Повна назва вищого навчального закладу та структурного підрозділу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Київський національний університет технологій та дизайну.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графічного дизайну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Кафедра дизайну.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34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Ступінь вищої освіти та кваліфікація мовою оригіналу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Рівень вищої освіти – перший (бакалаврський).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Ступінь вищої освіти – бакалавр.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Галузь знань – 02 Культура і мистецтво.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Спеціальність – 022 Дизайн.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Тип диплому та обсяг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Диплом бакалавра, одиничний, 240 кредитів ЄКТС/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180 кредитів ЄКТС за скороченим терміном навчання.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Наявність акредитації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both"/>
              <w:rPr>
                <w:rFonts w:ascii="Quattrocento Sans" w:cs="Quattrocento Sans" w:eastAsia="Quattrocento Sans" w:hAnsi="Quattrocento Sans"/>
                <w:color w:val="2125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Цикл/рівень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Національна рамка кваліфікації України – 6 рівень.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Передумови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Повна загальна середня освіта, фахова передвища освіта або ступінь молодшого бакалавра (молодшого спеціаліста). Відповідно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Стандарту вищої освіти за спеціальністю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Мова(и) викладання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-45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Інтернет-адреса постійного розміщення опису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https://knutd.edu.ua/ekts/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 – Мета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Підготовка фахівців, які володіють глибокими знаннями, а також базовими й професійними компетентностями в галузі дизайну, зокрема графічного та мультимедійного дизайну, що направлені на здобуття студентом здатності володіти сучасними методами дизайн-проєктування поліграфічної та рекламної продукції, фото та відео та web продуктів з урахуванням сучасних вимог до утилітарно-ергономічних та художньо-естетичних параметрів.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Основними цілями програми є: формування фахівців, здатних розв’язувати складні задачі та практичні проблеми у галузі графічного дизайну або у процесі навчання, що передбачає проведення наукових досліджень та/або здійснення інновацій.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 – Характеристика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Предметна область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Обов’язкові освітні компоненти – 75%, з них: дисципліни загальної підготовки – 8,4%, професійної підготовки – 58,35%, практична підготовка – 13,3%, вивчення іноземної мови – 13,3%, дипломне проектування – 6,7%. Дисципліни вільного вибору студента – 25% обираються із загальноуніверситетського каталогу відповідно до затвердженої процедури в Університеті.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Орієнтація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Освітньо-професійна програма для підготовки бакалавра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3"/>
                <w:szCs w:val="23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Основний фокус освітньо-професійної 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має професійну, дослідницьку та прикладну спрямованість, що базується на загальновідомих практично-проектних результатах,   спрямована на розвиток сучасних напрямів дизайн-діяльності; орієнтується на сучасні наукові дослідження в сфері графічного та арт-дизайну, аудіо-відеокомунікацій; враховує специфіку роботи організацій, установ та підприємств у вказаній галузі, орієнтує на актуальну спеціалізацію,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 рамках якої студент визначає професійну та наукову кар’єру; базується на загальновідомих проектних результатах, із врахуванням сьогоднішнього стану дизайну.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розвиває здатність аналітичної експериментальної та асоціативної творчої роботи в генеруванні  іноваційних проєктних ідей в сферах дизайну (в залежності від обраного фахового спрямування) та формуванні сучасних уявлень про основні закономірності й досягнення в дизайн-проектуванні та моделюванні, структурному та художньому оформленні комплексних об’єктів дизайну та дизайн-проєктів (в різних сферах дизайну).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Особливості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прикладна, спрямована на розвиток сучасних напрямів дизайн-діяльності; орієнтується на сучасні наукові дослідження в графічному та мультимедійному дизайні. Фахові спрямування в межах освітньо-професійної програми: web-дизайн; motion-дизайн; фотовідеодизайн;  фірмовий стиль; графічний дизайн.</w:t>
            </w:r>
          </w:p>
          <w:p w:rsidR="00000000" w:rsidDel="00000000" w:rsidP="00000000" w:rsidRDefault="00000000" w:rsidRPr="00000000" w14:paraId="000000EC">
            <w:pPr>
              <w:keepNext w:val="1"/>
              <w:pBdr>
                <w:top w:space="0" w:sz="0" w:val="nil"/>
                <w:left w:space="0" w:sz="0" w:val="nil"/>
                <w:bottom w:color="a2a9b1" w:space="0" w:sz="6" w:val="single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розвиває перспективи участі та стажування у структурі Національних творчих та проєктних фундацій, таких як Національна спілка художників України, Спілка дизайнерів України, Національна спілка фотохудожників України та ін. Студенти мають перспективи стажування та презентації своїх творчих робіт в рамках міжнародних проєктів як конкурсного спрямування, так і в рамках міжнародних кіно-, телепроєктів та мас-медіа. 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 – Придатність випускників до працевлаштування та подальшого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Придатність до працевлаштування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Випускники здатні виконувати професійну роботу у закладах освіти мистецького спрямування, проєктних установах в різних сферах дизайну, творчо-виробничих компаніях, закладах творчого та мистецького профілю. 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Фахівець може обіймати такі посади: дизайнера, художника та/або мистецтвознавця в дизайнерських бюро, рекламних агенціях, ЗМІ, ТБ, компаніях, малих підприємствах, що працюють в галузі поліграфічної діяльності, інформації та телекомунікацій, у сферах мистецтва, технічної діяльності, розваг та відпочинку.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Бакалавр дизайну може обіймати посади: фотохудожник, дизайнер-виконавець графічних робіт, дизайнер мультимедійних об'єктів, дизайнер пакування, дизайнер мультимедійних професій, художник з комбінованих зйомок, художник-графік телебачення, художник-мультиплікатор, керівник (студії за видами мистецтва та художньої творчості, любительського об’єднання, клубу за інтересами та ін.), фотохудожник, художник-шрифтовик телебачення.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Подальше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 – Викладання та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Викладання та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Використовується студентоцентроване навчання через навчальну, виробничу, переддипломну практику та самонавчання. При викладанні тематичного матеріалу відповідних дисциплін застосовується загальнотеоретична методологія, яка найширше використовується в сфері мистецтвознавства: історичний, термінологічний, функціональний, системний, процесний, когнітивний підходи, а також узагальнення, моделювання.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проєктів (робіт).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Оцінювання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Тестування, опитування-дискусія, усна презентація, звіт з розробки комплексних дизайн-проєктів, звіт з практики, письмове есе, портфоліо, контрольна робота, захист курсових (проєктних) робіт, усний та письмовий екзамен, залік.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 – Програмні компетентності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39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Інтегральна компетентність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(ІК)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розв’язувати складні спеціалізовані задачі та практичні проблеми у галузі дизайну, або у процесі навчання, що передбачає застосування певних теорій і методів дизайну та характеризується комплексністю та невизначеністю умов. 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8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Загальні компетентності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(ЗК)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Знання та розуміння предметної області та розуміння професійної діяльності.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спілкуватися державною мовою як усно, так і письмово. </w:t>
            </w:r>
          </w:p>
        </w:tc>
      </w:tr>
      <w:tr>
        <w:trPr>
          <w:cantSplit w:val="1"/>
          <w:trHeight w:val="19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спілкуватися іноземною мовою.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до пошуку, оброблення та аналізу інформації з різних джерел.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працювати в команді.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оцінювати та забезпечувати якість виконуваних робіт.</w:t>
            </w:r>
          </w:p>
        </w:tc>
      </w:tr>
      <w:tr>
        <w:trPr>
          <w:cantSplit w:val="1"/>
          <w:trHeight w:val="2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94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Цінування та повага різноманітності та мультикультурності.</w:t>
            </w:r>
          </w:p>
        </w:tc>
      </w:tr>
      <w:tr>
        <w:trPr>
          <w:cantSplit w:val="1"/>
          <w:trHeight w:val="2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>
        <w:trPr>
          <w:cantSplit w:val="1"/>
          <w:trHeight w:val="2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ЗК 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зберігати та примножувати культурно-мистецькі, екологічні, моральні,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Спеціальні (фахові, предметні) компетентності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(СК)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382"/>
                <w:tab w:val="left" w:pos="920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застосовувати сучасні методики проектування одиничних, комплексних, багатофункціональних об’єктів дизайну.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здійснювати формоутворення, макетування і  моделювання об’єктів дизайну. 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здійснювати композиційну побудову об’єктів дизайну.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застосовувати навички проектної графіки у професійній діяльності.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застосовувати знання історії українського і зарубіжного мистецтва та дизайну в художній дизайн-проектній діяльності.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застосовувати у проектно-художній діяльності спеціальні техніки та технології роботи у відповідних матеріалах (за спеціалізаціями).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використовувати сучасне програмне забезпечення для створення об’єктів дизайну.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здійснювати колористичне вирішення майбутнього дизайн-об’єкта.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зображувати об’єкти навколишнього середовища і постаті людини засобами пластичної анатомії, спеціального рисунка та живопису (за спеціалізаціями).</w:t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застосовувати знання прикладних наук у професійній діяльності (за спеціалізаціями).</w:t>
            </w:r>
          </w:p>
        </w:tc>
      </w:tr>
      <w:tr>
        <w:trPr>
          <w:cantSplit w:val="1"/>
          <w:trHeight w:val="80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Здатність досягати успіху в професійній кар’єрі, розробляти та представляти візуальні презентації, портфоліо власних творів, володіти підприємницькими навичками для провадження дизайн-діяльності.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 – Програмні результати навчання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Застосовувати набуті знання і розуміння предметної області та сфери професійної діяльності у практичних ситуаціях.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Вільно спілкуватися державною та іноземною мовами усно і письмово з професійних питань, 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Збирати та аналізувати інформацію для обґрунтування дизайнерського проекту, застосовувати теорію і методику дизайну, фахову термінологію (за професійним спрямуванням), основи наукових досліджень.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4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Визначати мету, завдання та етапи проектування.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Розуміти і сумлінно виконувати свою частину роботи в команді; визначати пріоритети професійної діяльності.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6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Усвідомлювати відповідальність за якість виконуваних робіт, забезпечувати виконання завдання на високому професійному рівні.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7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Аналізувати, стилізувати, інтерпретувати та трансформувати об’єкти для розроблення художньо-проектних вирішень.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8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Оцінювати об’єкт проектування, технологічні процеси в контексті проектного завдання, формувати художньо-проектну концепцію.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9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Створювати об’єкти дизайну засобами проектно-графічного моделювання.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Визначати функціональну та естетичну специфіку формотворчих засобів дизайну в комунікативному просторі.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Розробляти композиційне вирішення об’єктів дизайну у відповідних техніках і матеріалах.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Дотримуватися стандартів проектування та технологій виготовлення об’єктів дизайну у професійній діяльності.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Знати надбання національної та всесвітньої культурно-мистецької спадщини, розвивати екокультуру засобами дизайну.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14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Використовувати у професійній діяльності прояви української ментальності, історичної пам’яті, національної самоідентифікації та творчого самовираження; застосовувати історичний творчий досвід, а також успішні українські та зарубіжні художні практики.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Розуміти українські етнокультурні традиції у стильових вирішеннях об’єктів дизайну, враховувати регіональні особливості етнодизайну у мистецьких практиках.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16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45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Враховувати властивості матеріалів та конструктивних побудов, застосовувати новітні технології у професійній діяльності.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17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45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Застосовувати сучасне загальне та спеціалізоване програмне забезпечення у професійній діяльності (за спеціалізаціями).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18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45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Відображати морфологічні, стильові та кольоро-фактурні властивості об’єктів дизайну.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ПРН 19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45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Розробляти та представляти результати роботи у професійному середовищі, розуміти етапи досягнення успіху в професійні кар’єрі, враховувати сучасні тенденції ринку праці, проводити дослідження ринку, обирати відповідну бізнес-модель і розробляти бізнес-план професійної діяльності у сфері дизайну.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 – Ресурсне забезпечення реалізації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Кадрове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  <w:tab w:val="left" w:pos="36"/>
              </w:tabs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Всі науково-педагогічні працівники, що забезпечують освітньо-професійну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дослідницької, управлінської, інноваційної, творчої роботи та/або роботи за фахом та іноземні лектори.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Матеріально-технічне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освітньо-професійною програмою.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Стан приміщень засвідчено санітарно-технічними паспортами, що відповідають чинним нормативним актам.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Інформаційне та навчально-методичне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повністю забезпечена навчально-методичними комплексами з усіх навчальних компонентів, наявність яких представлена у модульному середовищі освітнього процесу Університету.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 – Академічна мобільність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Національна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передбачає можливість національної кредитної мобільності за деякими навчальними модулями, що забезпечують набуття загальних та фахових компетентностей.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Міжнародна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мобільності. Виконується в активному дослідницькому середовищі.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Навчання іноземних здобувачів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Перелік компонентів освітньо-професійної програми та їх логічна послідовність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 Перелік компонентів освітньо-професійної програми першого (бакалаврського) рівня вищої освіти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"/>
        <w:gridCol w:w="6180"/>
        <w:gridCol w:w="1230"/>
        <w:gridCol w:w="1620"/>
        <w:tblGridChange w:id="0">
          <w:tblGrid>
            <w:gridCol w:w="945"/>
            <w:gridCol w:w="6180"/>
            <w:gridCol w:w="1230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Компоненти освітньої програми (навчальні дисципліни, курсові роботи, практики, кваліфікаційна робота)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Кількість кредитів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 підсумкового контролю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Обов’язкові компоненти ОП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загальної підготовки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Ділова 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Філософія, політологія та соціологія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 фахового спрямування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Безпека життєдіяльності та цивільний захист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 6</w:t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Фізичне виховання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3/9</w:t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Всього з циклу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Цикл професійної підготовки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7</w:t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Основи рисунку, живопису та пластичної анатомії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8</w:t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Композиція та кольорознавство в графічному дизайні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9</w:t>
            </w:r>
          </w:p>
        </w:tc>
        <w:tc>
          <w:tcPr/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Перспективи і тіні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10</w:t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Історія мистецтва та дизайну </w:t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11</w:t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Пошукове макетування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12</w:t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Шрифти і типографіка</w:t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13</w:t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Проєктування об’єктів графічного дизайну</w:t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14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Дизайн-графіка</w:t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15</w:t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Менеджмент у сфері послуг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16</w:t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Фірмовий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17</w:t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Комп’ютерна графіка</w:t>
            </w:r>
          </w:p>
        </w:tc>
        <w:tc>
          <w:tcPr/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18</w:t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Комплексне дизайн-проектування</w:t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19</w:t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Навчальна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20</w:t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Виробнича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21</w:t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Переддипломна 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ОК 22</w:t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Дипломна бакалаврська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атестація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Всього циклу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Загальний обсяг обов’язкових компонент: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Вибіркові компоненти ОПП*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ДВВС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Дисципліни вільного вибору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Загальний обсяг вибіркових компонентів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ЗАГАЛЬНИЙ ОБСЯГ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 New Roman" w:cs="Times New Roman" w:eastAsia="Times New Roman" w:hAnsi="Times New Roman"/>
          <w:color w:val="000000"/>
        </w:rPr>
        <w:sectPr>
          <w:pgSz w:h="16838" w:w="11906" w:orient="portrait"/>
          <w:pgMar w:bottom="851" w:top="851" w:left="1418" w:right="851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позакредитна дисципліна 2, 3, 4 семестр.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right="-284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 Структурно-логічна схема підготовки бакалавра освітньо-професійної програми</w:t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right="-284" w:hanging="3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«Графічний дизайн» зі спеціальності 022 Дизайн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84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84" w:hanging="2"/>
        <w:jc w:val="center"/>
        <w:rPr>
          <w:rFonts w:ascii="Times New Roman" w:cs="Times New Roman" w:eastAsia="Times New Roman" w:hAnsi="Times New Roman"/>
          <w:color w:val="000000"/>
        </w:rPr>
        <w:sectPr>
          <w:type w:val="nextPage"/>
          <w:pgSz w:h="11906" w:w="16838" w:orient="landscape"/>
          <w:pgMar w:bottom="567" w:top="1079" w:left="851" w:right="851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pict>
          <v:shape id="_x0000_i1025" style="width:756.6pt;height:437.4pt" type="#_x0000_t75">
            <v:imagedata r:id="rId1" o:title="2 Структурно-логічна схема підготовки бакалавра ОПП Граф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Форма атестації здобувачів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8080"/>
        <w:tblGridChange w:id="0">
          <w:tblGrid>
            <w:gridCol w:w="1843"/>
            <w:gridCol w:w="8080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 атестації здобувачів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Атестація випускника освітньо-професійної програми здійснюється у формі публічного захисту дипломної бакалаврської роботи, яка передбачає розв’язання складної спеціалізованої задачі або практичної проблеми в web-дизайні, motion-дизайні, фотовідеодизайні, дизайні фірмового стилю, графічному дизайні згідно з фаховим спрямуванням.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Документ про вищу освіту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Диплом про присудження ступеня бакалавра із присвоєнням кваліфікації: бакалавр дизайну. </w:t>
            </w:r>
          </w:p>
        </w:tc>
      </w:tr>
    </w:tbl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Матриця відповідності програмних компетентностей компонентам освітньої програми</w:t>
      </w: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"/>
        <w:gridCol w:w="23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tblGridChange w:id="0">
          <w:tblGrid>
            <w:gridCol w:w="254"/>
            <w:gridCol w:w="231"/>
            <w:gridCol w:w="440"/>
            <w:gridCol w:w="440"/>
            <w:gridCol w:w="440"/>
            <w:gridCol w:w="440"/>
            <w:gridCol w:w="440"/>
            <w:gridCol w:w="440"/>
            <w:gridCol w:w="440"/>
            <w:gridCol w:w="440"/>
            <w:gridCol w:w="440"/>
            <w:gridCol w:w="500"/>
            <w:gridCol w:w="500"/>
            <w:gridCol w:w="500"/>
            <w:gridCol w:w="500"/>
            <w:gridCol w:w="500"/>
            <w:gridCol w:w="500"/>
            <w:gridCol w:w="500"/>
            <w:gridCol w:w="500"/>
            <w:gridCol w:w="500"/>
            <w:gridCol w:w="500"/>
            <w:gridCol w:w="500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ЗК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  <w:sectPr>
          <w:type w:val="nextPage"/>
          <w:pgSz w:h="16838" w:w="11906" w:orient="portrait"/>
          <w:pgMar w:bottom="851" w:top="851" w:left="1134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Матриця забезпечення програмних результатів навчання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відповідними компонентами освітньої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33.000000000003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tblGridChange w:id="0">
          <w:tblGrid>
            <w:gridCol w:w="590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</w:t>
            </w:r>
          </w:p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ПРН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5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ОК</w:t>
            </w:r>
          </w:p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3" w:hanging="14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5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134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ambria"/>
  <w:font w:name="Georgia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62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62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62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62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rsid w:val="004D1496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ru-RU"/>
    </w:rPr>
  </w:style>
  <w:style w:type="paragraph" w:styleId="1">
    <w:name w:val="heading 1"/>
    <w:basedOn w:val="a0"/>
    <w:next w:val="a0"/>
    <w:rsid w:val="004D1496"/>
    <w:pPr>
      <w:keepNext w:val="1"/>
      <w:tabs>
        <w:tab w:val="num" w:pos="1620"/>
      </w:tabs>
      <w:suppressAutoHyphens w:val="0"/>
      <w:spacing w:after="0" w:line="240" w:lineRule="auto"/>
      <w:ind w:left="1620" w:hanging="360"/>
      <w:jc w:val="center"/>
    </w:pPr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paragraph" w:styleId="2">
    <w:name w:val="heading 2"/>
    <w:basedOn w:val="a0"/>
    <w:next w:val="a0"/>
    <w:rsid w:val="004D1496"/>
    <w:pPr>
      <w:keepNext w:val="1"/>
      <w:tabs>
        <w:tab w:val="num" w:pos="1620"/>
      </w:tabs>
      <w:suppressAutoHyphens w:val="0"/>
      <w:spacing w:after="60" w:before="240" w:line="240" w:lineRule="auto"/>
      <w:ind w:left="1620" w:hanging="360"/>
      <w:outlineLvl w:val="1"/>
    </w:pPr>
    <w:rPr>
      <w:rFonts w:ascii="Arial" w:eastAsia="Times New Roman" w:hAnsi="Arial"/>
      <w:b w:val="1"/>
      <w:bCs w:val="1"/>
      <w:i w:val="1"/>
      <w:iCs w:val="1"/>
      <w:sz w:val="28"/>
      <w:szCs w:val="28"/>
      <w:lang w:eastAsia="ar-SA"/>
    </w:rPr>
  </w:style>
  <w:style w:type="paragraph" w:styleId="3">
    <w:name w:val="heading 3"/>
    <w:basedOn w:val="a0"/>
    <w:next w:val="a0"/>
    <w:rsid w:val="004D1496"/>
    <w:pPr>
      <w:keepNext w:val="1"/>
      <w:keepLines w:val="1"/>
      <w:tabs>
        <w:tab w:val="num" w:pos="1620"/>
      </w:tabs>
      <w:suppressAutoHyphens w:val="0"/>
      <w:spacing w:after="0" w:before="200" w:line="240" w:lineRule="auto"/>
      <w:ind w:left="1620" w:hanging="360"/>
      <w:outlineLvl w:val="2"/>
    </w:pPr>
    <w:rPr>
      <w:rFonts w:ascii="Cambria" w:eastAsia="MS ????" w:hAnsi="Cambria"/>
      <w:b w:val="1"/>
      <w:bCs w:val="1"/>
      <w:color w:val="4f81bd"/>
      <w:sz w:val="20"/>
      <w:szCs w:val="20"/>
      <w:lang w:eastAsia="ar-SA"/>
    </w:rPr>
  </w:style>
  <w:style w:type="paragraph" w:styleId="4">
    <w:name w:val="heading 4"/>
    <w:basedOn w:val="a0"/>
    <w:next w:val="a0"/>
    <w:rsid w:val="004D1496"/>
    <w:pPr>
      <w:keepNext w:val="1"/>
      <w:keepLines w:val="1"/>
      <w:tabs>
        <w:tab w:val="num" w:pos="1620"/>
      </w:tabs>
      <w:suppressAutoHyphens w:val="0"/>
      <w:spacing w:after="0" w:before="200" w:line="240" w:lineRule="auto"/>
      <w:ind w:left="1620" w:hanging="360"/>
      <w:outlineLvl w:val="3"/>
    </w:pPr>
    <w:rPr>
      <w:rFonts w:ascii="Cambria" w:eastAsia="MS ????" w:hAnsi="Cambria"/>
      <w:b w:val="1"/>
      <w:bCs w:val="1"/>
      <w:i w:val="1"/>
      <w:iCs w:val="1"/>
      <w:color w:val="4f81bd"/>
      <w:sz w:val="20"/>
      <w:szCs w:val="20"/>
      <w:lang w:eastAsia="ar-SA"/>
    </w:rPr>
  </w:style>
  <w:style w:type="paragraph" w:styleId="5">
    <w:name w:val="heading 5"/>
    <w:basedOn w:val="a0"/>
    <w:next w:val="a0"/>
    <w:rsid w:val="004D1496"/>
    <w:pPr>
      <w:keepNext w:val="1"/>
      <w:widowControl w:val="0"/>
      <w:spacing w:after="0" w:line="240" w:lineRule="auto"/>
      <w:outlineLvl w:val="4"/>
    </w:pPr>
    <w:rPr>
      <w:rFonts w:ascii="Times New Roman" w:hAnsi="Times New Roman"/>
      <w:b w:val="1"/>
      <w:bCs w:val="1"/>
      <w:sz w:val="36"/>
      <w:szCs w:val="36"/>
    </w:rPr>
  </w:style>
  <w:style w:type="paragraph" w:styleId="6">
    <w:name w:val="heading 6"/>
    <w:basedOn w:val="a0"/>
    <w:next w:val="a0"/>
    <w:rsid w:val="004D1496"/>
    <w:pPr>
      <w:keepNext w:val="1"/>
      <w:widowControl w:val="0"/>
      <w:spacing w:after="0" w:line="240" w:lineRule="auto"/>
      <w:outlineLvl w:val="5"/>
    </w:pPr>
    <w:rPr>
      <w:rFonts w:ascii="Times New Roman" w:hAnsi="Times New Roman"/>
      <w:b w:val="1"/>
      <w:bCs w:val="1"/>
      <w:sz w:val="16"/>
      <w:szCs w:val="16"/>
    </w:rPr>
  </w:style>
  <w:style w:type="paragraph" w:styleId="7">
    <w:name w:val="heading 7"/>
    <w:basedOn w:val="a0"/>
    <w:next w:val="a0"/>
    <w:rsid w:val="004D1496"/>
    <w:pPr>
      <w:keepNext w:val="1"/>
      <w:keepLines w:val="1"/>
      <w:spacing w:after="0" w:before="200"/>
      <w:outlineLvl w:val="6"/>
    </w:pPr>
    <w:rPr>
      <w:rFonts w:ascii="Calibri Light" w:hAnsi="Calibri Light"/>
      <w:i w:val="1"/>
      <w:iCs w:val="1"/>
      <w:color w:val="404040"/>
      <w:sz w:val="20"/>
      <w:szCs w:val="20"/>
    </w:rPr>
  </w:style>
  <w:style w:type="paragraph" w:styleId="8">
    <w:name w:val="heading 8"/>
    <w:basedOn w:val="a0"/>
    <w:next w:val="a0"/>
    <w:rsid w:val="004D1496"/>
    <w:pPr>
      <w:keepNext w:val="1"/>
      <w:keepLines w:val="1"/>
      <w:spacing w:after="0"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4D14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next w:val="a0"/>
    <w:rsid w:val="004D1496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60" w:customStyle="1">
    <w:name w:val="Основной шрифт абзаца;Знак Знак6 Знак Знак Знак Знак Знак Знак Знак Знак Знак Знак"/>
    <w:rsid w:val="004D1496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0"/>
    <w:rsid w:val="004D1496"/>
    <w:pPr>
      <w:ind w:left="708"/>
    </w:pPr>
  </w:style>
  <w:style w:type="character" w:styleId="a6">
    <w:name w:val="Hyperlink"/>
    <w:rsid w:val="004D1496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10" w:customStyle="1">
    <w:name w:val="Заголовок 1 Знак"/>
    <w:rsid w:val="004D1496"/>
    <w:rPr>
      <w:rFonts w:ascii="Times New Roman" w:cs="Calibri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character" w:styleId="20" w:customStyle="1">
    <w:name w:val="Заголовок 2 Знак"/>
    <w:rsid w:val="004D1496"/>
    <w:rPr>
      <w:rFonts w:ascii="Arial" w:cs="Calibri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30" w:customStyle="1">
    <w:name w:val="Заголовок 3 Знак"/>
    <w:rsid w:val="004D1496"/>
    <w:rPr>
      <w:rFonts w:ascii="Cambria" w:cs="Calibri" w:eastAsia="MS ????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40" w:customStyle="1">
    <w:name w:val="Заголовок 4 Знак"/>
    <w:rsid w:val="004D1496"/>
    <w:rPr>
      <w:rFonts w:ascii="Cambria" w:cs="Calibri" w:eastAsia="MS ????" w:hAnsi="Cambria"/>
      <w:b w:val="1"/>
      <w:bCs w:val="1"/>
      <w:i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50" w:customStyle="1">
    <w:name w:val="Заголовок 5 Знак"/>
    <w:rsid w:val="004D1496"/>
    <w:rPr>
      <w:rFonts w:ascii="Times New Roman" w:cs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ru-RU"/>
    </w:rPr>
  </w:style>
  <w:style w:type="character" w:styleId="61" w:customStyle="1">
    <w:name w:val="Заголовок 6 Знак"/>
    <w:rsid w:val="004D1496"/>
    <w:rPr>
      <w:rFonts w:ascii="Times New Roman" w:cs="Times New Roman" w:hAnsi="Times New Roman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styleId="70" w:customStyle="1">
    <w:name w:val="Заголовок 7 Знак"/>
    <w:rsid w:val="004D1496"/>
    <w:rPr>
      <w:rFonts w:ascii="Calibri Light" w:cs="Times New Roman" w:hAnsi="Calibri Light"/>
      <w:i w:val="1"/>
      <w:iCs w:val="1"/>
      <w:color w:val="404040"/>
      <w:w w:val="100"/>
      <w:position w:val="-1"/>
      <w:effect w:val="none"/>
      <w:vertAlign w:val="baseline"/>
      <w:cs w:val="0"/>
      <w:em w:val="none"/>
      <w:lang w:val="ru-RU"/>
    </w:rPr>
  </w:style>
  <w:style w:type="character" w:styleId="80" w:customStyle="1">
    <w:name w:val="Заголовок 8 Знак"/>
    <w:rsid w:val="004D1496"/>
    <w:rPr>
      <w:rFonts w:ascii="Calibri Light" w:cs="Times New Roman" w:hAnsi="Calibri Light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styleId="11" w:customStyle="1">
    <w:name w:val="Абзац списка1"/>
    <w:basedOn w:val="a0"/>
    <w:rsid w:val="004D1496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 w:val="uk-UA"/>
    </w:rPr>
  </w:style>
  <w:style w:type="paragraph" w:styleId="21" w:customStyle="1">
    <w:name w:val="Абзац списка2"/>
    <w:basedOn w:val="a0"/>
    <w:rsid w:val="004D1496"/>
    <w:pPr>
      <w:ind w:left="720"/>
    </w:pPr>
  </w:style>
  <w:style w:type="paragraph" w:styleId="12" w:customStyle="1">
    <w:name w:val="Название1"/>
    <w:basedOn w:val="a0"/>
    <w:next w:val="a7"/>
    <w:rsid w:val="004D149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13" w:customStyle="1">
    <w:name w:val="Название Знак1"/>
    <w:rsid w:val="004D1496"/>
    <w:rPr>
      <w:rFonts w:ascii="Times New Roman" w:cs="Calibri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character" w:styleId="a8" w:customStyle="1">
    <w:name w:val="Название Знак"/>
    <w:rsid w:val="004D1496"/>
    <w:rPr>
      <w:rFonts w:ascii="Calibri Light" w:cs="Times New Roman" w:hAnsi="Calibri Light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7">
    <w:name w:val="Subtitle"/>
    <w:basedOn w:val="a0"/>
    <w:next w:val="a0"/>
    <w:rsid w:val="004D14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9" w:customStyle="1">
    <w:name w:val="Подзаголовок Знак"/>
    <w:rsid w:val="004D1496"/>
    <w:rPr>
      <w:rFonts w:ascii="Calibri Light" w:cs="Times New Roman" w:hAnsi="Calibri Light"/>
      <w:i w:val="1"/>
      <w:iCs w:val="1"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/>
    </w:rPr>
  </w:style>
  <w:style w:type="character" w:styleId="aa">
    <w:name w:val="Strong"/>
    <w:rsid w:val="004D1496"/>
    <w:rPr>
      <w:rFonts w:ascii="Times New Roman" w:hAnsi="Times New Roman"/>
      <w:b w:val="1"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4D1496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c">
    <w:name w:val="No Spacing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ru-RU"/>
    </w:rPr>
  </w:style>
  <w:style w:type="table" w:styleId="14" w:customStyle="1">
    <w:name w:val="Сетка таблицы1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 w:val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>
    <w:name w:val="Table Grid"/>
    <w:basedOn w:val="a2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2" w:customStyle="1">
    <w:name w:val="Сетка таблицы2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 w:val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e">
    <w:name w:val="Balloon Text"/>
    <w:basedOn w:val="a0"/>
    <w:rsid w:val="004D1496"/>
    <w:pPr>
      <w:spacing w:after="0" w:line="240" w:lineRule="auto"/>
    </w:pPr>
    <w:rPr>
      <w:rFonts w:ascii="Tahoma" w:hAnsi="Tahoma"/>
      <w:sz w:val="16"/>
      <w:szCs w:val="16"/>
    </w:rPr>
  </w:style>
  <w:style w:type="character" w:styleId="af" w:customStyle="1">
    <w:name w:val="Текст выноски Знак"/>
    <w:rsid w:val="004D1496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table" w:styleId="31" w:customStyle="1">
    <w:name w:val="Сетка таблицы3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 w:val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1" w:customStyle="1">
    <w:name w:val="Сетка таблицы4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SimSun" w:hAnsi="Times New Roman"/>
      <w:position w:val="-1"/>
      <w:lang w:eastAsia="zh-CN" w:val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9" w:customStyle="1">
    <w:name w:val="Основной текст с отступом 2;Знак9"/>
    <w:basedOn w:val="a0"/>
    <w:rsid w:val="004D149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290" w:customStyle="1">
    <w:name w:val="Основной текст с отступом 2 Знак;Знак9 Знак"/>
    <w:rsid w:val="004D1496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15" w:customStyle="1">
    <w:name w:val="Без интервала1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  <w:lang w:val="ru-RU"/>
    </w:rPr>
  </w:style>
  <w:style w:type="paragraph" w:styleId="af0">
    <w:name w:val="header"/>
    <w:basedOn w:val="a0"/>
    <w:rsid w:val="004D14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styleId="af1" w:customStyle="1">
    <w:name w:val="Верхний колонтитул Знак"/>
    <w:rsid w:val="004D1496"/>
    <w:rPr>
      <w:rFonts w:ascii="Calibri" w:cs="Times New Roman" w:hAnsi="Calibri"/>
      <w:w w:val="100"/>
      <w:position w:val="-1"/>
      <w:effect w:val="none"/>
      <w:vertAlign w:val="baseline"/>
      <w:cs w:val="0"/>
      <w:em w:val="none"/>
      <w:lang w:eastAsia="ru-RU" w:val="ru-RU"/>
    </w:rPr>
  </w:style>
  <w:style w:type="paragraph" w:styleId="23" w:customStyle="1">
    <w:name w:val="Без интервала2"/>
    <w:rsid w:val="004D1496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ar-SA" w:val="ru-RU"/>
    </w:rPr>
  </w:style>
  <w:style w:type="paragraph" w:styleId="16" w:customStyle="1">
    <w:name w:val="заголовок 1"/>
    <w:basedOn w:val="a0"/>
    <w:next w:val="a0"/>
    <w:rsid w:val="004D1496"/>
    <w:pPr>
      <w:keepNext w:val="1"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eastAsia="ru-RU" w:val="uk-UA"/>
    </w:rPr>
  </w:style>
  <w:style w:type="paragraph" w:styleId="af2">
    <w:name w:val="footnote text"/>
    <w:basedOn w:val="a0"/>
    <w:rsid w:val="004D1496"/>
    <w:pPr>
      <w:spacing w:after="0" w:line="240" w:lineRule="auto"/>
    </w:pPr>
    <w:rPr>
      <w:sz w:val="20"/>
      <w:szCs w:val="20"/>
    </w:rPr>
  </w:style>
  <w:style w:type="character" w:styleId="af3" w:customStyle="1">
    <w:name w:val="Текст сноски Знак"/>
    <w:rsid w:val="004D1496"/>
    <w:rPr>
      <w:rFonts w:ascii="Calibri" w:cs="Times New Roman" w:eastAsia="Times New Roman" w:hAnsi="Calibri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styleId="ShapkaDocumentu" w:customStyle="1">
    <w:name w:val="Shapka Documentu"/>
    <w:basedOn w:val="a0"/>
    <w:rsid w:val="004D1496"/>
    <w:pPr>
      <w:keepNext w:val="1"/>
      <w:keepLines w:val="1"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 w:val="uk-UA"/>
    </w:rPr>
  </w:style>
  <w:style w:type="character" w:styleId="17" w:customStyle="1">
    <w:name w:val="Основной текст1"/>
    <w:rsid w:val="004D1496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vertAlign w:val="baseline"/>
      <w:cs w:val="0"/>
      <w:em w:val="none"/>
      <w:lang w:val="uk-UA"/>
    </w:rPr>
  </w:style>
  <w:style w:type="character" w:styleId="af4" w:customStyle="1">
    <w:name w:val="Основной текст_"/>
    <w:rsid w:val="004D1496"/>
    <w:rPr>
      <w:rFonts w:ascii="Times New Roman" w:hAnsi="Times New Roman"/>
      <w:spacing w:val="7"/>
      <w:w w:val="100"/>
      <w:position w:val="-1"/>
      <w:sz w:val="20"/>
      <w:effect w:val="none"/>
      <w:shd w:color="auto" w:fill="ffffff" w:val="clear"/>
      <w:vertAlign w:val="baseline"/>
      <w:cs w:val="0"/>
      <w:em w:val="none"/>
    </w:rPr>
  </w:style>
  <w:style w:type="paragraph" w:styleId="24" w:customStyle="1">
    <w:name w:val="Основной текст2"/>
    <w:basedOn w:val="a0"/>
    <w:rsid w:val="004D1496"/>
    <w:pPr>
      <w:widowControl w:val="0"/>
      <w:shd w:color="auto" w:fill="ffffff" w:val="clear"/>
      <w:spacing w:after="0" w:line="274" w:lineRule="atLeast"/>
      <w:jc w:val="both"/>
    </w:pPr>
    <w:rPr>
      <w:rFonts w:ascii="Times New Roman" w:hAnsi="Times New Roman"/>
      <w:spacing w:val="7"/>
      <w:sz w:val="20"/>
      <w:szCs w:val="20"/>
    </w:rPr>
  </w:style>
  <w:style w:type="character" w:styleId="af5">
    <w:name w:val="FollowedHyperlink"/>
    <w:rsid w:val="004D1496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6">
    <w:name w:val="Body Text"/>
    <w:basedOn w:val="a0"/>
    <w:rsid w:val="004D1496"/>
    <w:pPr>
      <w:spacing w:after="120"/>
    </w:pPr>
    <w:rPr>
      <w:sz w:val="20"/>
      <w:szCs w:val="20"/>
    </w:rPr>
  </w:style>
  <w:style w:type="character" w:styleId="af7" w:customStyle="1">
    <w:name w:val="Основной текст Знак"/>
    <w:rsid w:val="004D1496"/>
    <w:rPr>
      <w:w w:val="100"/>
      <w:position w:val="-1"/>
      <w:effect w:val="none"/>
      <w:vertAlign w:val="baseline"/>
      <w:cs w:val="0"/>
      <w:em w:val="none"/>
      <w:lang w:val="ru-RU"/>
    </w:rPr>
  </w:style>
  <w:style w:type="table" w:styleId="51" w:customStyle="1">
    <w:name w:val="Сетка таблицы5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pple-converted-space" w:customStyle="1">
    <w:name w:val="apple-converted-space"/>
    <w:rsid w:val="004D1496"/>
    <w:rPr>
      <w:w w:val="100"/>
      <w:position w:val="-1"/>
      <w:effect w:val="none"/>
      <w:vertAlign w:val="baseline"/>
      <w:cs w:val="0"/>
      <w:em w:val="none"/>
    </w:rPr>
  </w:style>
  <w:style w:type="character" w:styleId="25" w:customStyle="1">
    <w:name w:val="Основной текст (2)_"/>
    <w:rsid w:val="004D1496"/>
    <w:rPr>
      <w:rFonts w:ascii="Times New Roman" w:cs="Times New Roman" w:hAnsi="Times New Roman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</w:rPr>
  </w:style>
  <w:style w:type="paragraph" w:styleId="26" w:customStyle="1">
    <w:name w:val="Основной текст (2)"/>
    <w:basedOn w:val="a0"/>
    <w:rsid w:val="004D1496"/>
    <w:pPr>
      <w:widowControl w:val="0"/>
      <w:shd w:color="auto" w:fill="ffffff" w:val="clear"/>
      <w:spacing w:after="0" w:line="221" w:lineRule="atLeast"/>
      <w:jc w:val="both"/>
    </w:pPr>
    <w:rPr>
      <w:rFonts w:ascii="Times New Roman" w:hAnsi="Times New Roman"/>
      <w:sz w:val="18"/>
      <w:szCs w:val="18"/>
    </w:rPr>
  </w:style>
  <w:style w:type="paragraph" w:styleId="af8" w:customStyle="1">
    <w:name w:val="Знак"/>
    <w:basedOn w:val="a0"/>
    <w:rsid w:val="004D1496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styleId="62" w:customStyle="1">
    <w:name w:val="Знак Знак6 Знак Знак Знак Знак Знак Знак Знак Знак"/>
    <w:basedOn w:val="a0"/>
    <w:rsid w:val="004D1496"/>
    <w:pPr>
      <w:spacing w:after="160" w:line="240" w:lineRule="atLeast"/>
    </w:pPr>
    <w:rPr>
      <w:rFonts w:ascii="Verdana" w:eastAsia="Times New Roman" w:hAnsi="Verdana"/>
      <w:sz w:val="20"/>
      <w:szCs w:val="20"/>
      <w:lang w:val="en-US"/>
    </w:rPr>
  </w:style>
  <w:style w:type="paragraph" w:styleId="af9" w:customStyle="1">
    <w:name w:val="Содержимое таблицы"/>
    <w:basedOn w:val="a0"/>
    <w:rsid w:val="004D1496"/>
    <w:pPr>
      <w:suppressLineNumbers w:val="1"/>
      <w:suppressAutoHyphens w:val="0"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eastAsia="zh-CN" w:val="uk-UA"/>
    </w:rPr>
  </w:style>
  <w:style w:type="character" w:styleId="rvts0" w:customStyle="1">
    <w:name w:val="rvts0"/>
    <w:basedOn w:val="60"/>
    <w:rsid w:val="004D1496"/>
    <w:rPr>
      <w:w w:val="100"/>
      <w:position w:val="-1"/>
      <w:effect w:val="none"/>
      <w:vertAlign w:val="baseline"/>
      <w:cs w:val="0"/>
      <w:em w:val="none"/>
    </w:rPr>
  </w:style>
  <w:style w:type="paragraph" w:styleId="a" w:customStyle="1">
    <w:name w:val="!!! Ввод список"/>
    <w:basedOn w:val="a0"/>
    <w:rsid w:val="004D1496"/>
    <w:pPr>
      <w:numPr>
        <w:numId w:val="2"/>
      </w:numPr>
      <w:spacing w:after="0" w:line="240" w:lineRule="auto"/>
      <w:ind w:left="-1" w:hanging="1"/>
    </w:pPr>
    <w:rPr>
      <w:rFonts w:ascii="Times New Roman" w:eastAsia="Times New Roman" w:hAnsi="Times New Roman"/>
      <w:sz w:val="24"/>
      <w:szCs w:val="24"/>
      <w:lang w:eastAsia="ru-RU" w:val="uk-UA"/>
    </w:rPr>
  </w:style>
  <w:style w:type="character" w:styleId="FontStyle133" w:customStyle="1">
    <w:name w:val="Font Style133"/>
    <w:rsid w:val="004D1496"/>
    <w:rPr>
      <w:rFonts w:ascii="Times New Roman" w:cs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Default" w:customStyle="1">
    <w:name w:val="Default"/>
    <w:rsid w:val="004D1496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 w:val="ru-RU"/>
    </w:rPr>
  </w:style>
  <w:style w:type="paragraph" w:styleId="18" w:customStyle="1">
    <w:name w:val="Без інтервалів1"/>
    <w:rsid w:val="004D1496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ru-RU"/>
    </w:rPr>
  </w:style>
  <w:style w:type="character" w:styleId="afa" w:customStyle="1">
    <w:name w:val="Без інтервалів Знак"/>
    <w:rsid w:val="004D1496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FontStyle22" w:customStyle="1">
    <w:name w:val="Font Style22"/>
    <w:rsid w:val="004D1496"/>
    <w:rPr>
      <w:rFonts w:ascii="Times New Roman" w:cs="Times New Roman" w:hAnsi="Times New Roman" w:hint="default"/>
      <w:b w:val="1"/>
      <w:w w:val="100"/>
      <w:position w:val="-1"/>
      <w:sz w:val="16"/>
      <w:effect w:val="none"/>
      <w:vertAlign w:val="baseline"/>
      <w:cs w:val="0"/>
      <w:em w:val="none"/>
    </w:rPr>
  </w:style>
  <w:style w:type="character" w:styleId="afb">
    <w:name w:val="footnote reference"/>
    <w:rsid w:val="004D1496"/>
    <w:rPr>
      <w:w w:val="100"/>
      <w:position w:val="-1"/>
      <w:effect w:val="none"/>
      <w:vertAlign w:val="superscript"/>
      <w:cs w:val="0"/>
      <w:em w:val="none"/>
    </w:rPr>
  </w:style>
  <w:style w:type="paragraph" w:styleId="afc">
    <w:name w:val="Normal (Web)"/>
    <w:basedOn w:val="a0"/>
    <w:qFormat w:val="1"/>
    <w:rsid w:val="004D149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uk-UA" w:val="uk-UA"/>
    </w:rPr>
  </w:style>
  <w:style w:type="table" w:styleId="afd" w:customStyle="1">
    <w:basedOn w:val="TableNormal"/>
    <w:rsid w:val="004D149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"/>
    <w:rsid w:val="004D1496"/>
    <w:tblPr>
      <w:tblStyleRowBandSize w:val="1"/>
      <w:tblStyleColBandSize w:val="1"/>
    </w:tblPr>
  </w:style>
  <w:style w:type="table" w:styleId="aff" w:customStyle="1">
    <w:basedOn w:val="TableNormal"/>
    <w:rsid w:val="004D149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"/>
    <w:rsid w:val="004D149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"/>
    <w:rsid w:val="004D149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"/>
    <w:rsid w:val="004D1496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knutd.edu.ua/ekts/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HwqhQ2TNplQVCjDMx/mpkz+PA==">AMUW2mVKvVSfqroXJwk8zOanZj2trQwufZySNOAU1zk+XoBQTTV+Oxn40QZPZcPuPmihyz6V6pM2mZrJmajCj3y44U4rX+6m7+XnpgNdFUKPFptO+cyeZn92rpzmFErvLVk1lSu0hvyM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2022-11-10T06:30:00Z</dcterms:created>
  <dc:creator>Оксана</dc:creator>
</cp:coreProperties>
</file>