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8198C" w14:textId="77777777" w:rsidR="008A19DA" w:rsidRPr="00754EAD" w:rsidRDefault="008A19DA" w:rsidP="0013369A">
      <w:pPr>
        <w:spacing w:after="0" w:line="240" w:lineRule="auto"/>
        <w:jc w:val="center"/>
        <w:rPr>
          <w:b/>
          <w:lang w:val="uk-UA"/>
        </w:rPr>
      </w:pPr>
      <w:r w:rsidRPr="00754EAD">
        <w:rPr>
          <w:b/>
          <w:lang w:val="uk-UA"/>
        </w:rPr>
        <w:t xml:space="preserve">Залучення здобувачів вищої освіти до процесу моніторингу та періодичного перегляду </w:t>
      </w:r>
    </w:p>
    <w:p w14:paraId="738FBEFE" w14:textId="77777777" w:rsidR="00760069" w:rsidRPr="00760069" w:rsidRDefault="008A19DA" w:rsidP="00760069">
      <w:pPr>
        <w:spacing w:after="0" w:line="240" w:lineRule="auto"/>
        <w:jc w:val="center"/>
        <w:rPr>
          <w:b/>
          <w:lang w:val="uk-UA"/>
        </w:rPr>
      </w:pPr>
      <w:r w:rsidRPr="00754EAD">
        <w:rPr>
          <w:b/>
          <w:lang w:val="uk-UA"/>
        </w:rPr>
        <w:t>ОПП «</w:t>
      </w:r>
      <w:r w:rsidR="00760069" w:rsidRPr="00760069">
        <w:rPr>
          <w:b/>
          <w:lang w:val="uk-UA"/>
        </w:rPr>
        <w:t>Інноваційнепідприємництво та управління Startup проєктами</w:t>
      </w:r>
      <w:r w:rsidRPr="00754EAD">
        <w:rPr>
          <w:b/>
          <w:lang w:val="uk-UA"/>
        </w:rPr>
        <w:t xml:space="preserve">» та інших процедур її якості </w:t>
      </w:r>
    </w:p>
    <w:p w14:paraId="198902CD" w14:textId="6C9F1E6A" w:rsidR="008A19DA" w:rsidRPr="00754EAD" w:rsidRDefault="008A19DA" w:rsidP="00760069">
      <w:pPr>
        <w:spacing w:after="0" w:line="240" w:lineRule="auto"/>
        <w:jc w:val="center"/>
        <w:rPr>
          <w:b/>
          <w:lang w:val="uk-UA"/>
        </w:rPr>
      </w:pPr>
      <w:r w:rsidRPr="00754EAD">
        <w:rPr>
          <w:b/>
          <w:lang w:val="uk-UA"/>
        </w:rPr>
        <w:t>у 202</w:t>
      </w:r>
      <w:r w:rsidR="00932D49" w:rsidRPr="00754EAD">
        <w:rPr>
          <w:b/>
          <w:lang w:val="uk-UA"/>
        </w:rPr>
        <w:t>3</w:t>
      </w:r>
      <w:r w:rsidR="008E3E88" w:rsidRPr="00754EAD">
        <w:rPr>
          <w:b/>
          <w:lang w:val="uk-UA"/>
        </w:rPr>
        <w:t>-2024 н.</w:t>
      </w:r>
      <w:r w:rsidRPr="00754EAD">
        <w:rPr>
          <w:b/>
          <w:lang w:val="uk-UA"/>
        </w:rPr>
        <w:t xml:space="preserve">р. </w:t>
      </w:r>
    </w:p>
    <w:p w14:paraId="34A004CF" w14:textId="77777777" w:rsidR="00760069" w:rsidRDefault="00760069" w:rsidP="00760069">
      <w:pPr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спеціальність 076 «Підприємництво та торгівля» </w:t>
      </w:r>
      <w:r w:rsidRPr="000335A2">
        <w:rPr>
          <w:b/>
          <w:lang w:val="uk-UA"/>
        </w:rPr>
        <w:t xml:space="preserve"> </w:t>
      </w:r>
    </w:p>
    <w:p w14:paraId="6C146ACC" w14:textId="7227BDBE" w:rsidR="00760069" w:rsidRPr="000335A2" w:rsidRDefault="00760069" w:rsidP="00760069">
      <w:pPr>
        <w:spacing w:after="0" w:line="240" w:lineRule="auto"/>
        <w:jc w:val="center"/>
        <w:rPr>
          <w:lang w:val="uk-UA"/>
        </w:rPr>
      </w:pPr>
      <w:r w:rsidRPr="000335A2">
        <w:rPr>
          <w:lang w:val="uk-UA"/>
        </w:rPr>
        <w:t xml:space="preserve"> (затверджено рішенням Вченої ради факультету управління та бізнес-дизайну</w:t>
      </w:r>
      <w:r>
        <w:rPr>
          <w:lang w:val="uk-UA"/>
        </w:rPr>
        <w:t>)</w:t>
      </w:r>
      <w:r w:rsidRPr="000335A2">
        <w:rPr>
          <w:lang w:val="uk-UA"/>
        </w:rPr>
        <w:t xml:space="preserve"> </w:t>
      </w:r>
    </w:p>
    <w:p w14:paraId="6651FB6F" w14:textId="77777777" w:rsidR="00760069" w:rsidRPr="00A11851" w:rsidRDefault="00760069" w:rsidP="00760069">
      <w:pPr>
        <w:spacing w:after="0" w:line="240" w:lineRule="auto"/>
        <w:jc w:val="center"/>
        <w:rPr>
          <w:lang w:val="uk-UA"/>
        </w:rPr>
      </w:pPr>
      <w:r w:rsidRPr="00A11851">
        <w:rPr>
          <w:lang w:val="uk-UA"/>
        </w:rPr>
        <w:t xml:space="preserve">від 21серпня 2024 року, протокол № 1) </w:t>
      </w:r>
    </w:p>
    <w:p w14:paraId="7C606BCD" w14:textId="77777777" w:rsidR="00FB7E57" w:rsidRPr="005D0149" w:rsidRDefault="00FB7E57" w:rsidP="0013369A">
      <w:pPr>
        <w:spacing w:after="0" w:line="240" w:lineRule="auto"/>
        <w:jc w:val="center"/>
        <w:rPr>
          <w:lang w:val="uk-UA"/>
        </w:rPr>
      </w:pPr>
    </w:p>
    <w:p w14:paraId="1A1493DB" w14:textId="01D38A27" w:rsidR="00FB7E57" w:rsidRPr="005D0149" w:rsidRDefault="008A19DA" w:rsidP="0013369A">
      <w:pPr>
        <w:spacing w:after="0" w:line="240" w:lineRule="auto"/>
        <w:ind w:firstLine="567"/>
        <w:jc w:val="both"/>
        <w:rPr>
          <w:lang w:val="uk-UA"/>
        </w:rPr>
      </w:pPr>
      <w:r w:rsidRPr="005D0149">
        <w:rPr>
          <w:lang w:val="uk-UA"/>
        </w:rPr>
        <w:t xml:space="preserve">Відповідно до Положення про моніторинг та періодичний перегляд освітніх програм </w:t>
      </w:r>
      <w:r w:rsidR="00A508E2" w:rsidRPr="005D0149">
        <w:rPr>
          <w:lang w:val="uk-UA"/>
        </w:rPr>
        <w:t>у</w:t>
      </w:r>
      <w:r w:rsidRPr="005D0149">
        <w:rPr>
          <w:lang w:val="uk-UA"/>
        </w:rPr>
        <w:t xml:space="preserve"> Київському національному університеті технологій та дизайну, Положення про систему забезпечення якості освітньої діяльності та якості вищої освіти (система внутрішнього забезпечення якості) в Київському національному університеті технологій та дизайну, Положення про стейкхолдерів освітніх програм у Київському національному університеті технологій та дизайну щорічно проводиться опитування здобувачів вищої освіти та випускників освітньої програми, роботодавців та інших стейкхолдерів з метою моніторингу освітньо</w:t>
      </w:r>
      <w:r w:rsidR="00840CA0" w:rsidRPr="005D0149">
        <w:rPr>
          <w:lang w:val="uk-UA"/>
        </w:rPr>
        <w:t>-професійної</w:t>
      </w:r>
      <w:r w:rsidRPr="005D0149">
        <w:rPr>
          <w:lang w:val="uk-UA"/>
        </w:rPr>
        <w:t xml:space="preserve"> програми «</w:t>
      </w:r>
      <w:r w:rsidR="00A83FAA" w:rsidRPr="00760069">
        <w:rPr>
          <w:b/>
          <w:lang w:val="uk-UA"/>
        </w:rPr>
        <w:t>Інноваційнепідприємництво та управління Startup проєктами</w:t>
      </w:r>
      <w:r w:rsidRPr="005D0149">
        <w:rPr>
          <w:lang w:val="uk-UA"/>
        </w:rPr>
        <w:t xml:space="preserve">». </w:t>
      </w:r>
    </w:p>
    <w:p w14:paraId="2279001E" w14:textId="456EAE3E" w:rsidR="00FB7E57" w:rsidRPr="005D0149" w:rsidRDefault="008A19DA" w:rsidP="0013369A">
      <w:pPr>
        <w:spacing w:after="0" w:line="240" w:lineRule="auto"/>
        <w:ind w:firstLine="567"/>
        <w:jc w:val="both"/>
        <w:rPr>
          <w:lang w:val="uk-UA"/>
        </w:rPr>
      </w:pPr>
      <w:r w:rsidRPr="005D0149">
        <w:rPr>
          <w:lang w:val="uk-UA"/>
        </w:rPr>
        <w:t>У 202</w:t>
      </w:r>
      <w:r w:rsidR="00426E8A" w:rsidRPr="005D0149">
        <w:rPr>
          <w:lang w:val="uk-UA"/>
        </w:rPr>
        <w:t>3</w:t>
      </w:r>
      <w:r w:rsidR="007F6278" w:rsidRPr="005D0149">
        <w:rPr>
          <w:lang w:val="uk-UA"/>
        </w:rPr>
        <w:t>-2024 н.</w:t>
      </w:r>
      <w:r w:rsidRPr="005D0149">
        <w:rPr>
          <w:lang w:val="uk-UA"/>
        </w:rPr>
        <w:t xml:space="preserve">р. анкетування </w:t>
      </w:r>
      <w:r w:rsidR="00E57777" w:rsidRPr="005D0149">
        <w:rPr>
          <w:lang w:val="uk-UA"/>
        </w:rPr>
        <w:t xml:space="preserve">учасників освітнього процесу </w:t>
      </w:r>
      <w:r w:rsidRPr="005D0149">
        <w:rPr>
          <w:lang w:val="uk-UA"/>
        </w:rPr>
        <w:t>було проведено за ОПП</w:t>
      </w:r>
      <w:r w:rsidR="00314C8E" w:rsidRPr="005D0149">
        <w:rPr>
          <w:lang w:val="uk-UA"/>
        </w:rPr>
        <w:t xml:space="preserve"> </w:t>
      </w:r>
      <w:r w:rsidRPr="005D0149">
        <w:rPr>
          <w:lang w:val="uk-UA"/>
        </w:rPr>
        <w:t>«</w:t>
      </w:r>
      <w:r w:rsidR="00A83FAA" w:rsidRPr="00760069">
        <w:rPr>
          <w:b/>
          <w:lang w:val="uk-UA"/>
        </w:rPr>
        <w:t>Інноваційнепідприємництво та управління Startup проєктами</w:t>
      </w:r>
      <w:r w:rsidRPr="005D0149">
        <w:rPr>
          <w:lang w:val="uk-UA"/>
        </w:rPr>
        <w:t xml:space="preserve">» у декілька етапів за наступними категоріями: </w:t>
      </w:r>
    </w:p>
    <w:p w14:paraId="17064449" w14:textId="3A75F635" w:rsidR="00FB7E57" w:rsidRPr="005D0149" w:rsidRDefault="00E57777" w:rsidP="0013369A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8A19DA" w:rsidRPr="005D0149">
        <w:rPr>
          <w:lang w:val="uk-UA"/>
        </w:rPr>
        <w:t xml:space="preserve"> </w:t>
      </w:r>
      <w:r w:rsidR="007F6278" w:rsidRPr="005D0149">
        <w:rPr>
          <w:lang w:val="uk-UA"/>
        </w:rPr>
        <w:t>моніторинг академічної свободи та студентоцентрованого підходу</w:t>
      </w:r>
      <w:r w:rsidR="008A19DA" w:rsidRPr="005D0149">
        <w:rPr>
          <w:lang w:val="uk-UA"/>
        </w:rPr>
        <w:t xml:space="preserve">; </w:t>
      </w:r>
    </w:p>
    <w:p w14:paraId="7010A508" w14:textId="0D6FA13E" w:rsidR="00E4281F" w:rsidRPr="005D0149" w:rsidRDefault="00E57777" w:rsidP="0013369A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8A19DA" w:rsidRPr="005D0149">
        <w:rPr>
          <w:lang w:val="uk-UA"/>
        </w:rPr>
        <w:t xml:space="preserve"> </w:t>
      </w:r>
      <w:r w:rsidR="007F6278" w:rsidRPr="005D0149">
        <w:rPr>
          <w:lang w:val="uk-UA"/>
        </w:rPr>
        <w:t>моніторинг академічної доброчесності та вивчення інформованості щодо вирішення конфліктних ситуацій</w:t>
      </w:r>
      <w:r w:rsidR="008A19DA" w:rsidRPr="005D0149">
        <w:rPr>
          <w:lang w:val="uk-UA"/>
        </w:rPr>
        <w:t>;</w:t>
      </w:r>
    </w:p>
    <w:p w14:paraId="66765FA3" w14:textId="4A2C8D16" w:rsidR="00FB7E57" w:rsidRPr="005D0149" w:rsidRDefault="00E57777" w:rsidP="0013369A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E4281F" w:rsidRPr="005D0149">
        <w:rPr>
          <w:lang w:val="uk-UA"/>
        </w:rPr>
        <w:t xml:space="preserve"> </w:t>
      </w:r>
      <w:r w:rsidR="007F6278" w:rsidRPr="005D0149">
        <w:rPr>
          <w:lang w:val="uk-UA"/>
        </w:rPr>
        <w:t>моніторинг практико-орі</w:t>
      </w:r>
      <w:r w:rsidR="00985237" w:rsidRPr="005D0149">
        <w:rPr>
          <w:lang w:val="uk-UA"/>
        </w:rPr>
        <w:t>є</w:t>
      </w:r>
      <w:r w:rsidR="007F6278" w:rsidRPr="005D0149">
        <w:rPr>
          <w:lang w:val="uk-UA"/>
        </w:rPr>
        <w:t>нтованості освітньої програми</w:t>
      </w:r>
      <w:r w:rsidR="00E4281F" w:rsidRPr="005D0149">
        <w:rPr>
          <w:lang w:val="uk-UA"/>
        </w:rPr>
        <w:t>;</w:t>
      </w:r>
      <w:r w:rsidR="008A19DA" w:rsidRPr="005D0149">
        <w:rPr>
          <w:lang w:val="uk-UA"/>
        </w:rPr>
        <w:t xml:space="preserve"> </w:t>
      </w:r>
    </w:p>
    <w:p w14:paraId="16D12044" w14:textId="2B568F23" w:rsidR="008A19DA" w:rsidRPr="005D0149" w:rsidRDefault="00E57777" w:rsidP="0013369A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8A19DA" w:rsidRPr="005D0149">
        <w:rPr>
          <w:lang w:val="uk-UA"/>
        </w:rPr>
        <w:t xml:space="preserve"> моніторинг результатів освітньо-професійної програми (анкетування </w:t>
      </w:r>
      <w:r w:rsidR="00985237" w:rsidRPr="005D0149">
        <w:rPr>
          <w:lang w:val="uk-UA"/>
        </w:rPr>
        <w:t>стейкхолде</w:t>
      </w:r>
      <w:r w:rsidR="007F6278" w:rsidRPr="005D0149">
        <w:rPr>
          <w:lang w:val="uk-UA"/>
        </w:rPr>
        <w:t>рів);</w:t>
      </w:r>
    </w:p>
    <w:p w14:paraId="36CB95AA" w14:textId="68CC2C46" w:rsidR="007F6278" w:rsidRPr="00754EAD" w:rsidRDefault="00E57777" w:rsidP="0013369A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7F6278" w:rsidRPr="005D0149">
        <w:rPr>
          <w:lang w:val="uk-UA"/>
        </w:rPr>
        <w:t xml:space="preserve"> моніторинг процесу вивчення дисципліни (анкетування здобувачів вищої освіти)</w:t>
      </w:r>
      <w:r w:rsidR="00754EAD">
        <w:rPr>
          <w:lang w:val="uk-UA"/>
        </w:rPr>
        <w:t>;</w:t>
      </w:r>
    </w:p>
    <w:p w14:paraId="30ACED0C" w14:textId="4040FCE0" w:rsidR="00754EAD" w:rsidRPr="00754EAD" w:rsidRDefault="00754EAD" w:rsidP="0013369A">
      <w:pPr>
        <w:spacing w:after="0" w:line="240" w:lineRule="auto"/>
        <w:ind w:firstLine="567"/>
        <w:jc w:val="both"/>
        <w:rPr>
          <w:lang w:val="uk-UA"/>
        </w:rPr>
      </w:pPr>
      <w:r w:rsidRPr="00E061F8">
        <w:t>6</w:t>
      </w:r>
      <w:r>
        <w:rPr>
          <w:lang w:val="uk-UA"/>
        </w:rPr>
        <w:t>. моніторинг працевлаштованих випускників.</w:t>
      </w:r>
    </w:p>
    <w:p w14:paraId="6FCF8E84" w14:textId="77777777" w:rsidR="008A19DA" w:rsidRPr="005D0149" w:rsidRDefault="008A19DA" w:rsidP="0013369A">
      <w:pPr>
        <w:spacing w:after="0" w:line="240" w:lineRule="auto"/>
        <w:jc w:val="center"/>
        <w:rPr>
          <w:lang w:val="uk-UA"/>
        </w:rPr>
      </w:pPr>
    </w:p>
    <w:p w14:paraId="38C38115" w14:textId="3A349433" w:rsidR="007F6278" w:rsidRPr="005D0149" w:rsidRDefault="00FB7E57" w:rsidP="0013369A">
      <w:pPr>
        <w:spacing w:after="0" w:line="240" w:lineRule="auto"/>
        <w:ind w:firstLine="567"/>
        <w:jc w:val="both"/>
        <w:rPr>
          <w:b/>
          <w:lang w:val="uk-UA"/>
        </w:rPr>
      </w:pPr>
      <w:r w:rsidRPr="005D0149">
        <w:rPr>
          <w:b/>
          <w:lang w:val="uk-UA"/>
        </w:rPr>
        <w:t xml:space="preserve">1. </w:t>
      </w:r>
      <w:r w:rsidR="007F6278" w:rsidRPr="005D0149">
        <w:rPr>
          <w:b/>
          <w:lang w:val="uk-UA"/>
        </w:rPr>
        <w:t>Моніторинг академічної свободи та студентоцентрованого підходу</w:t>
      </w:r>
    </w:p>
    <w:p w14:paraId="69FCE304" w14:textId="7A2E0A94" w:rsidR="00FA1A4D" w:rsidRPr="005D0149" w:rsidRDefault="00FA1A4D" w:rsidP="0013369A">
      <w:pPr>
        <w:spacing w:after="0" w:line="240" w:lineRule="auto"/>
        <w:ind w:firstLine="567"/>
        <w:jc w:val="both"/>
        <w:rPr>
          <w:lang w:val="uk-UA"/>
        </w:rPr>
      </w:pPr>
      <w:r w:rsidRPr="005D0149">
        <w:rPr>
          <w:lang w:val="uk-UA"/>
        </w:rPr>
        <w:t xml:space="preserve">Метою моніторингу було вивчення рівня задоволеності здобувачів </w:t>
      </w:r>
      <w:r w:rsidR="00E43D86">
        <w:rPr>
          <w:lang w:val="uk-UA"/>
        </w:rPr>
        <w:t>другого</w:t>
      </w:r>
      <w:r w:rsidRPr="005D0149">
        <w:rPr>
          <w:lang w:val="uk-UA"/>
        </w:rPr>
        <w:t xml:space="preserve"> (</w:t>
      </w:r>
      <w:r w:rsidR="00E43D86">
        <w:rPr>
          <w:lang w:val="uk-UA"/>
        </w:rPr>
        <w:t>магістерського</w:t>
      </w:r>
      <w:r w:rsidRPr="005D0149">
        <w:rPr>
          <w:lang w:val="uk-UA"/>
        </w:rPr>
        <w:t xml:space="preserve">) рівня вищої світи, щодо контрольних заходів, оцінювання здобувачів, академічної доброчесності та вивчення інформованості щодо вирішення конфліктних ситуацій у КНУТД, з метою усунення недоліків і надання дієвої допомоги усім учасникам освітнього процесу. </w:t>
      </w:r>
    </w:p>
    <w:p w14:paraId="1C8D8E13" w14:textId="32DF97F7" w:rsidR="00FA1A4D" w:rsidRPr="005D0149" w:rsidRDefault="00FA1A4D" w:rsidP="0013369A">
      <w:pPr>
        <w:spacing w:after="0" w:line="240" w:lineRule="auto"/>
        <w:ind w:firstLine="567"/>
        <w:jc w:val="both"/>
        <w:rPr>
          <w:lang w:val="uk-UA"/>
        </w:rPr>
      </w:pPr>
      <w:r w:rsidRPr="005D0149">
        <w:rPr>
          <w:lang w:val="uk-UA"/>
        </w:rPr>
        <w:t xml:space="preserve">Опитування проводилось з </w:t>
      </w:r>
      <w:r w:rsidR="00BF41B6">
        <w:rPr>
          <w:lang w:val="uk-UA"/>
        </w:rPr>
        <w:t>30.10</w:t>
      </w:r>
      <w:r w:rsidRPr="005D0149">
        <w:rPr>
          <w:lang w:val="uk-UA"/>
        </w:rPr>
        <w:t xml:space="preserve">.2023 р. по </w:t>
      </w:r>
      <w:r w:rsidR="00BF41B6">
        <w:rPr>
          <w:lang w:val="uk-UA"/>
        </w:rPr>
        <w:t>03</w:t>
      </w:r>
      <w:r w:rsidRPr="005D0149">
        <w:rPr>
          <w:lang w:val="uk-UA"/>
        </w:rPr>
        <w:t xml:space="preserve">.11.2023 р. Для отримання даних було використано анкетування </w:t>
      </w:r>
      <w:r w:rsidR="00E43D86">
        <w:rPr>
          <w:lang w:val="uk-UA"/>
        </w:rPr>
        <w:t>здобувачів</w:t>
      </w:r>
      <w:r w:rsidRPr="005D0149">
        <w:rPr>
          <w:lang w:val="uk-UA"/>
        </w:rPr>
        <w:t xml:space="preserve"> 1-</w:t>
      </w:r>
      <w:r w:rsidR="00E43D86">
        <w:rPr>
          <w:lang w:val="uk-UA"/>
        </w:rPr>
        <w:t>2</w:t>
      </w:r>
      <w:r w:rsidRPr="005D0149">
        <w:rPr>
          <w:lang w:val="uk-UA"/>
        </w:rPr>
        <w:t xml:space="preserve"> курсів</w:t>
      </w:r>
      <w:r w:rsidR="00E43D86">
        <w:rPr>
          <w:lang w:val="uk-UA"/>
        </w:rPr>
        <w:t xml:space="preserve"> магістратури</w:t>
      </w:r>
      <w:r w:rsidRPr="005D0149">
        <w:rPr>
          <w:lang w:val="uk-UA"/>
        </w:rPr>
        <w:t xml:space="preserve">. </w:t>
      </w:r>
    </w:p>
    <w:p w14:paraId="696C1384" w14:textId="5397059C" w:rsidR="00FA1A4D" w:rsidRPr="00177CA1" w:rsidRDefault="00FA1A4D" w:rsidP="0013369A">
      <w:pPr>
        <w:spacing w:after="0" w:line="240" w:lineRule="auto"/>
        <w:ind w:firstLine="567"/>
        <w:jc w:val="both"/>
        <w:rPr>
          <w:lang w:val="uk-UA"/>
        </w:rPr>
      </w:pPr>
      <w:r w:rsidRPr="005D0149">
        <w:rPr>
          <w:lang w:val="uk-UA"/>
        </w:rPr>
        <w:t xml:space="preserve">В опитуванні прийняли участь </w:t>
      </w:r>
      <w:r w:rsidR="00177CA1" w:rsidRPr="00177CA1">
        <w:rPr>
          <w:lang w:val="uk-UA"/>
        </w:rPr>
        <w:t>36</w:t>
      </w:r>
      <w:r w:rsidRPr="005D0149">
        <w:rPr>
          <w:lang w:val="uk-UA"/>
        </w:rPr>
        <w:t xml:space="preserve"> здобувач</w:t>
      </w:r>
      <w:r w:rsidR="00E43D86">
        <w:rPr>
          <w:lang w:val="uk-UA"/>
        </w:rPr>
        <w:t>ів</w:t>
      </w:r>
      <w:r w:rsidRPr="005D0149">
        <w:rPr>
          <w:lang w:val="uk-UA"/>
        </w:rPr>
        <w:t xml:space="preserve"> </w:t>
      </w:r>
      <w:r w:rsidR="00E43D86">
        <w:rPr>
          <w:lang w:val="uk-UA"/>
        </w:rPr>
        <w:t>другого</w:t>
      </w:r>
      <w:r w:rsidRPr="005D0149">
        <w:rPr>
          <w:lang w:val="uk-UA"/>
        </w:rPr>
        <w:t xml:space="preserve"> (</w:t>
      </w:r>
      <w:r w:rsidR="00E43D86">
        <w:rPr>
          <w:lang w:val="uk-UA"/>
        </w:rPr>
        <w:t>магістерського</w:t>
      </w:r>
      <w:r w:rsidRPr="005D0149">
        <w:rPr>
          <w:lang w:val="uk-UA"/>
        </w:rPr>
        <w:t xml:space="preserve">) рівня вищої освіти факультету </w:t>
      </w:r>
      <w:r w:rsidR="00177CA1" w:rsidRPr="000335A2">
        <w:rPr>
          <w:lang w:val="uk-UA"/>
        </w:rPr>
        <w:t>управління та бізнес-дизайну</w:t>
      </w:r>
      <w:r w:rsidRPr="005D0149">
        <w:rPr>
          <w:lang w:val="uk-UA"/>
        </w:rPr>
        <w:t>, освітньо</w:t>
      </w:r>
      <w:r w:rsidR="00E3565C">
        <w:rPr>
          <w:lang w:val="uk-UA"/>
        </w:rPr>
        <w:t>-професійно</w:t>
      </w:r>
      <w:r w:rsidRPr="005D0149">
        <w:rPr>
          <w:lang w:val="uk-UA"/>
        </w:rPr>
        <w:t>ї програми «</w:t>
      </w:r>
      <w:r w:rsidR="00177CA1" w:rsidRPr="00177CA1">
        <w:rPr>
          <w:lang w:val="uk-UA"/>
        </w:rPr>
        <w:t>Інноваційнепідприємництво та управління Startup проєктами</w:t>
      </w:r>
      <w:r w:rsidR="00177CA1">
        <w:rPr>
          <w:lang w:val="uk-UA"/>
        </w:rPr>
        <w:t>».</w:t>
      </w:r>
    </w:p>
    <w:p w14:paraId="7D902260" w14:textId="63BF170C" w:rsidR="00FA1A4D" w:rsidRPr="005D0149" w:rsidRDefault="00FA1A4D" w:rsidP="0013369A">
      <w:pPr>
        <w:spacing w:after="0" w:line="240" w:lineRule="auto"/>
        <w:jc w:val="center"/>
        <w:rPr>
          <w:lang w:val="uk-UA"/>
        </w:rPr>
      </w:pPr>
    </w:p>
    <w:p w14:paraId="57C863A6" w14:textId="14966924" w:rsidR="00FA1A4D" w:rsidRDefault="00FA1A4D" w:rsidP="0013369A">
      <w:pPr>
        <w:spacing w:after="0" w:line="240" w:lineRule="auto"/>
        <w:ind w:firstLine="567"/>
        <w:jc w:val="both"/>
        <w:rPr>
          <w:lang w:val="uk-UA"/>
        </w:rPr>
      </w:pPr>
      <w:r w:rsidRPr="00177CA1">
        <w:rPr>
          <w:lang w:val="uk-UA"/>
        </w:rPr>
        <w:t xml:space="preserve">На питання «Чи задовольняє Вас якість освітніх послуг, які надає Університет?» </w:t>
      </w:r>
      <w:r w:rsidR="00177CA1" w:rsidRPr="00177CA1">
        <w:rPr>
          <w:lang w:val="uk-UA"/>
        </w:rPr>
        <w:t>94,4</w:t>
      </w:r>
      <w:r w:rsidRPr="00177CA1">
        <w:rPr>
          <w:lang w:val="uk-UA"/>
        </w:rPr>
        <w:t xml:space="preserve"> % опитаних відповіли «так»</w:t>
      </w:r>
      <w:r w:rsidR="00A41757" w:rsidRPr="00177CA1">
        <w:rPr>
          <w:lang w:val="uk-UA"/>
        </w:rPr>
        <w:t xml:space="preserve">; </w:t>
      </w:r>
      <w:r w:rsidR="00177CA1" w:rsidRPr="00177CA1">
        <w:rPr>
          <w:lang w:val="uk-UA"/>
        </w:rPr>
        <w:t>5,6</w:t>
      </w:r>
      <w:r w:rsidR="00A41757" w:rsidRPr="00177CA1">
        <w:rPr>
          <w:lang w:val="uk-UA"/>
        </w:rPr>
        <w:t xml:space="preserve"> % опитаних</w:t>
      </w:r>
      <w:r w:rsidRPr="00177CA1">
        <w:rPr>
          <w:lang w:val="uk-UA"/>
        </w:rPr>
        <w:t xml:space="preserve"> </w:t>
      </w:r>
      <w:r w:rsidR="00A41757" w:rsidRPr="00177CA1">
        <w:rPr>
          <w:lang w:val="uk-UA"/>
        </w:rPr>
        <w:t xml:space="preserve">відмітили </w:t>
      </w:r>
      <w:r w:rsidR="00177CA1" w:rsidRPr="00177CA1">
        <w:rPr>
          <w:lang w:val="uk-UA"/>
        </w:rPr>
        <w:t>«часткове» задоволення (рис. 1.1</w:t>
      </w:r>
      <w:r w:rsidR="00A41757" w:rsidRPr="00177CA1">
        <w:rPr>
          <w:lang w:val="uk-UA"/>
        </w:rPr>
        <w:t>).</w:t>
      </w:r>
    </w:p>
    <w:p w14:paraId="694C559B" w14:textId="5CC4BF13" w:rsidR="00177CA1" w:rsidRDefault="00177CA1" w:rsidP="00172E4F">
      <w:pPr>
        <w:spacing w:after="0" w:line="240" w:lineRule="auto"/>
        <w:ind w:firstLine="567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02E31E70" wp14:editId="2A744BF2">
            <wp:extent cx="4055165" cy="2130949"/>
            <wp:effectExtent l="0" t="0" r="21590" b="222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DBD213D" w14:textId="4A925B8E" w:rsidR="00A41757" w:rsidRPr="00177CA1" w:rsidRDefault="00A41757" w:rsidP="0013369A">
      <w:pPr>
        <w:spacing w:after="0" w:line="240" w:lineRule="auto"/>
        <w:jc w:val="center"/>
        <w:rPr>
          <w:highlight w:val="yellow"/>
          <w:lang w:val="uk-UA"/>
        </w:rPr>
      </w:pPr>
    </w:p>
    <w:p w14:paraId="3684B115" w14:textId="6DCDD033" w:rsidR="00A41757" w:rsidRDefault="00A41757" w:rsidP="0013369A">
      <w:pPr>
        <w:spacing w:after="0" w:line="240" w:lineRule="auto"/>
        <w:jc w:val="center"/>
        <w:rPr>
          <w:lang w:val="uk-UA"/>
        </w:rPr>
      </w:pPr>
      <w:r w:rsidRPr="00172E4F">
        <w:rPr>
          <w:lang w:val="uk-UA"/>
        </w:rPr>
        <w:t>Рисунок 1.</w:t>
      </w:r>
      <w:r w:rsidR="00172E4F">
        <w:rPr>
          <w:lang w:val="uk-UA"/>
        </w:rPr>
        <w:t>1</w:t>
      </w:r>
      <w:r w:rsidRPr="00172E4F">
        <w:rPr>
          <w:lang w:val="uk-UA"/>
        </w:rPr>
        <w:t xml:space="preserve"> – Задоволеність опитаних респондентів якістю освітніх послуг, які надає Університет</w:t>
      </w:r>
    </w:p>
    <w:p w14:paraId="6BCF2BDA" w14:textId="77777777" w:rsidR="00172E4F" w:rsidRPr="00172E4F" w:rsidRDefault="00172E4F" w:rsidP="0013369A">
      <w:pPr>
        <w:spacing w:after="0" w:line="240" w:lineRule="auto"/>
        <w:jc w:val="center"/>
        <w:rPr>
          <w:lang w:val="uk-UA"/>
        </w:rPr>
      </w:pPr>
    </w:p>
    <w:p w14:paraId="2FDDFDC8" w14:textId="6E46506F" w:rsidR="00A41757" w:rsidRDefault="00DD59E4" w:rsidP="0013369A">
      <w:pPr>
        <w:spacing w:after="0" w:line="240" w:lineRule="auto"/>
        <w:ind w:firstLine="567"/>
        <w:jc w:val="both"/>
        <w:rPr>
          <w:lang w:val="uk-UA"/>
        </w:rPr>
      </w:pPr>
      <w:r w:rsidRPr="00DD59E4">
        <w:rPr>
          <w:lang w:val="uk-UA"/>
        </w:rPr>
        <w:t>55,6</w:t>
      </w:r>
      <w:r w:rsidR="00A41757" w:rsidRPr="00DD59E4">
        <w:rPr>
          <w:lang w:val="uk-UA"/>
        </w:rPr>
        <w:t xml:space="preserve"> % опитаних планують у подальшому підвищувати рівень своєї освіти; </w:t>
      </w:r>
      <w:r w:rsidRPr="00DD59E4">
        <w:rPr>
          <w:lang w:val="uk-UA"/>
        </w:rPr>
        <w:t>16,7</w:t>
      </w:r>
      <w:r w:rsidR="00A41757" w:rsidRPr="00DD59E4">
        <w:rPr>
          <w:lang w:val="uk-UA"/>
        </w:rPr>
        <w:t xml:space="preserve"> %– не визначилися стосовно заданого питання; </w:t>
      </w:r>
      <w:r w:rsidRPr="00DD59E4">
        <w:rPr>
          <w:lang w:val="uk-UA"/>
        </w:rPr>
        <w:t>27,8</w:t>
      </w:r>
      <w:r w:rsidR="00F144C8" w:rsidRPr="00DD59E4">
        <w:rPr>
          <w:lang w:val="uk-UA"/>
        </w:rPr>
        <w:t xml:space="preserve"> % опитаних</w:t>
      </w:r>
      <w:r w:rsidR="00A41757" w:rsidRPr="00DD59E4">
        <w:rPr>
          <w:lang w:val="uk-UA"/>
        </w:rPr>
        <w:t xml:space="preserve"> не плану</w:t>
      </w:r>
      <w:r w:rsidR="00F144C8" w:rsidRPr="00DD59E4">
        <w:rPr>
          <w:lang w:val="uk-UA"/>
        </w:rPr>
        <w:t>ють</w:t>
      </w:r>
      <w:r w:rsidR="00A41757" w:rsidRPr="00DD59E4">
        <w:rPr>
          <w:lang w:val="uk-UA"/>
        </w:rPr>
        <w:t xml:space="preserve"> підвищувати рівень своєї освіти (рис. 1.</w:t>
      </w:r>
      <w:r w:rsidRPr="00DD59E4">
        <w:rPr>
          <w:lang w:val="uk-UA"/>
        </w:rPr>
        <w:t>2</w:t>
      </w:r>
      <w:r w:rsidR="00A41757" w:rsidRPr="00DD59E4">
        <w:rPr>
          <w:lang w:val="uk-UA"/>
        </w:rPr>
        <w:t>).</w:t>
      </w:r>
    </w:p>
    <w:p w14:paraId="323E347F" w14:textId="5B42A6AF" w:rsidR="0038694B" w:rsidRPr="00DD59E4" w:rsidRDefault="0038694B" w:rsidP="00912A28">
      <w:pPr>
        <w:spacing w:after="0" w:line="240" w:lineRule="auto"/>
        <w:ind w:firstLine="567"/>
        <w:jc w:val="center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27015F51" wp14:editId="465C2209">
            <wp:extent cx="4102873" cy="1653871"/>
            <wp:effectExtent l="0" t="0" r="12065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16909A4" w14:textId="6D147E15" w:rsidR="00A41757" w:rsidRPr="00177CA1" w:rsidRDefault="00A41757" w:rsidP="0013369A">
      <w:pPr>
        <w:spacing w:after="0" w:line="240" w:lineRule="auto"/>
        <w:jc w:val="center"/>
        <w:rPr>
          <w:highlight w:val="yellow"/>
          <w:lang w:val="uk-UA"/>
        </w:rPr>
      </w:pPr>
    </w:p>
    <w:p w14:paraId="7F99B73C" w14:textId="1D04235F" w:rsidR="00A41757" w:rsidRPr="00912A28" w:rsidRDefault="00A41757" w:rsidP="0013369A">
      <w:pPr>
        <w:spacing w:after="0" w:line="240" w:lineRule="auto"/>
        <w:jc w:val="center"/>
        <w:rPr>
          <w:lang w:val="uk-UA"/>
        </w:rPr>
      </w:pPr>
      <w:r w:rsidRPr="00912A28">
        <w:rPr>
          <w:lang w:val="uk-UA"/>
        </w:rPr>
        <w:t>Рисунок 1.</w:t>
      </w:r>
      <w:r w:rsidR="00912A28" w:rsidRPr="00912A28">
        <w:rPr>
          <w:lang w:val="uk-UA"/>
        </w:rPr>
        <w:t>2</w:t>
      </w:r>
      <w:r w:rsidRPr="00912A28">
        <w:rPr>
          <w:lang w:val="uk-UA"/>
        </w:rPr>
        <w:t xml:space="preserve"> – Подальше підвищення рівня освіти респондентами</w:t>
      </w:r>
    </w:p>
    <w:p w14:paraId="55A3950B" w14:textId="77777777" w:rsidR="00A41757" w:rsidRPr="00177CA1" w:rsidRDefault="00A41757" w:rsidP="0013369A">
      <w:pPr>
        <w:spacing w:after="0" w:line="240" w:lineRule="auto"/>
        <w:ind w:firstLine="567"/>
        <w:jc w:val="both"/>
        <w:rPr>
          <w:b/>
          <w:highlight w:val="yellow"/>
          <w:lang w:val="uk-UA"/>
        </w:rPr>
      </w:pPr>
    </w:p>
    <w:p w14:paraId="6CAF1CBD" w14:textId="655C71C5" w:rsidR="00402127" w:rsidRDefault="00F144C8" w:rsidP="0013369A">
      <w:pPr>
        <w:spacing w:after="0" w:line="240" w:lineRule="auto"/>
        <w:ind w:firstLine="567"/>
        <w:jc w:val="both"/>
        <w:rPr>
          <w:lang w:val="uk-UA"/>
        </w:rPr>
      </w:pPr>
      <w:r w:rsidRPr="0079067F">
        <w:rPr>
          <w:lang w:val="uk-UA"/>
        </w:rPr>
        <w:t>Переважна б</w:t>
      </w:r>
      <w:r w:rsidR="00D81977" w:rsidRPr="0079067F">
        <w:rPr>
          <w:lang w:val="uk-UA"/>
        </w:rPr>
        <w:t xml:space="preserve">ільшість респондентів </w:t>
      </w:r>
      <w:r w:rsidR="0079067F" w:rsidRPr="0079067F">
        <w:rPr>
          <w:lang w:val="uk-UA"/>
        </w:rPr>
        <w:t>77,8</w:t>
      </w:r>
      <w:r w:rsidR="00D81977" w:rsidRPr="0079067F">
        <w:rPr>
          <w:lang w:val="uk-UA"/>
        </w:rPr>
        <w:t xml:space="preserve"> %</w:t>
      </w:r>
      <w:r w:rsidRPr="0079067F">
        <w:rPr>
          <w:lang w:val="uk-UA"/>
        </w:rPr>
        <w:t xml:space="preserve">постійно </w:t>
      </w:r>
      <w:r w:rsidR="00D81977" w:rsidRPr="0079067F">
        <w:rPr>
          <w:lang w:val="uk-UA"/>
        </w:rPr>
        <w:t xml:space="preserve">працювала під час навчання, </w:t>
      </w:r>
      <w:r w:rsidR="0079067F" w:rsidRPr="0079067F">
        <w:rPr>
          <w:lang w:val="uk-UA"/>
        </w:rPr>
        <w:t>22,2</w:t>
      </w:r>
      <w:r w:rsidRPr="0079067F">
        <w:rPr>
          <w:lang w:val="uk-UA"/>
        </w:rPr>
        <w:t xml:space="preserve"> % опитаних</w:t>
      </w:r>
      <w:r w:rsidR="00D81977" w:rsidRPr="0079067F">
        <w:rPr>
          <w:lang w:val="uk-UA"/>
        </w:rPr>
        <w:t xml:space="preserve"> – працюва</w:t>
      </w:r>
      <w:r w:rsidRPr="0079067F">
        <w:rPr>
          <w:lang w:val="uk-UA"/>
        </w:rPr>
        <w:t>в</w:t>
      </w:r>
      <w:r w:rsidR="00D81977" w:rsidRPr="0079067F">
        <w:rPr>
          <w:lang w:val="uk-UA"/>
        </w:rPr>
        <w:t xml:space="preserve"> під час навчання </w:t>
      </w:r>
      <w:r w:rsidR="0079067F" w:rsidRPr="0079067F">
        <w:rPr>
          <w:lang w:val="uk-UA"/>
        </w:rPr>
        <w:t>неповний робочий день</w:t>
      </w:r>
      <w:r w:rsidRPr="0079067F">
        <w:rPr>
          <w:lang w:val="uk-UA"/>
        </w:rPr>
        <w:t>.</w:t>
      </w:r>
    </w:p>
    <w:p w14:paraId="293DE0EF" w14:textId="620E0F92" w:rsidR="00057E93" w:rsidRPr="0079067F" w:rsidRDefault="00057E93" w:rsidP="00974879">
      <w:pPr>
        <w:spacing w:after="0" w:line="240" w:lineRule="auto"/>
        <w:ind w:firstLine="567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0783B37" wp14:editId="6F112A79">
            <wp:extent cx="4031312" cy="1781093"/>
            <wp:effectExtent l="0" t="0" r="26670" b="101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4EE6012" w14:textId="1F8BB3CB" w:rsidR="00402127" w:rsidRPr="00177CA1" w:rsidRDefault="00402127" w:rsidP="0013369A">
      <w:pPr>
        <w:spacing w:after="0" w:line="240" w:lineRule="auto"/>
        <w:jc w:val="center"/>
        <w:rPr>
          <w:highlight w:val="yellow"/>
          <w:lang w:val="uk-UA"/>
        </w:rPr>
      </w:pPr>
    </w:p>
    <w:p w14:paraId="37730C89" w14:textId="1D565D8A" w:rsidR="00402127" w:rsidRPr="00974879" w:rsidRDefault="00974879" w:rsidP="0013369A">
      <w:pPr>
        <w:spacing w:after="0" w:line="240" w:lineRule="auto"/>
        <w:jc w:val="center"/>
        <w:rPr>
          <w:b/>
          <w:lang w:val="uk-UA"/>
        </w:rPr>
      </w:pPr>
      <w:r w:rsidRPr="00974879">
        <w:rPr>
          <w:lang w:val="uk-UA"/>
        </w:rPr>
        <w:t>Рисунок 1.3</w:t>
      </w:r>
      <w:r w:rsidR="00402127" w:rsidRPr="00974879">
        <w:rPr>
          <w:lang w:val="uk-UA"/>
        </w:rPr>
        <w:t xml:space="preserve"> – Співвідношення працюючих здобувачів освіти</w:t>
      </w:r>
    </w:p>
    <w:p w14:paraId="00B1FFCD" w14:textId="77777777" w:rsidR="00A41757" w:rsidRPr="00177CA1" w:rsidRDefault="00A41757" w:rsidP="0013369A">
      <w:pPr>
        <w:spacing w:after="0" w:line="240" w:lineRule="auto"/>
        <w:ind w:firstLine="567"/>
        <w:jc w:val="both"/>
        <w:rPr>
          <w:b/>
          <w:highlight w:val="yellow"/>
          <w:lang w:val="uk-UA"/>
        </w:rPr>
      </w:pPr>
    </w:p>
    <w:p w14:paraId="7B41C64F" w14:textId="5BE9816A" w:rsidR="00402127" w:rsidRPr="000F1703" w:rsidRDefault="004D5EE5" w:rsidP="0013369A">
      <w:pPr>
        <w:spacing w:after="0" w:line="240" w:lineRule="auto"/>
        <w:ind w:firstLine="567"/>
        <w:jc w:val="both"/>
        <w:rPr>
          <w:lang w:val="uk-UA"/>
        </w:rPr>
      </w:pPr>
      <w:r w:rsidRPr="00974879">
        <w:rPr>
          <w:lang w:val="uk-UA"/>
        </w:rPr>
        <w:t>Думки студентів щодо того, що дозволило впровадження студентоцентрованого навчання в закладі вищої освіти розділилися (рис. 1.</w:t>
      </w:r>
      <w:r w:rsidR="00974879" w:rsidRPr="00974879">
        <w:rPr>
          <w:lang w:val="uk-UA"/>
        </w:rPr>
        <w:t>4</w:t>
      </w:r>
      <w:r w:rsidRPr="00974879">
        <w:rPr>
          <w:lang w:val="uk-UA"/>
        </w:rPr>
        <w:t xml:space="preserve">). </w:t>
      </w:r>
      <w:r w:rsidR="00480251" w:rsidRPr="00974879">
        <w:rPr>
          <w:lang w:val="uk-UA"/>
        </w:rPr>
        <w:t xml:space="preserve">Але слід зауважити, що </w:t>
      </w:r>
      <w:r w:rsidRPr="00974879">
        <w:rPr>
          <w:lang w:val="uk-UA"/>
        </w:rPr>
        <w:t>впровадження та дотримання студентоцентрованого навчання має значення для здобувачів вищої освіти,</w:t>
      </w:r>
      <w:r w:rsidR="00480251" w:rsidRPr="00974879">
        <w:rPr>
          <w:lang w:val="uk-UA"/>
        </w:rPr>
        <w:t xml:space="preserve"> </w:t>
      </w:r>
      <w:r w:rsidRPr="00974879">
        <w:rPr>
          <w:lang w:val="uk-UA"/>
        </w:rPr>
        <w:t xml:space="preserve">таку позицію висловили </w:t>
      </w:r>
      <w:r w:rsidR="000F1703" w:rsidRPr="000F1703">
        <w:rPr>
          <w:lang w:val="uk-UA"/>
        </w:rPr>
        <w:t>91,7</w:t>
      </w:r>
      <w:r w:rsidRPr="000F1703">
        <w:rPr>
          <w:lang w:val="uk-UA"/>
        </w:rPr>
        <w:t xml:space="preserve"> % респондентів</w:t>
      </w:r>
      <w:r w:rsidR="00480251" w:rsidRPr="000F1703">
        <w:rPr>
          <w:lang w:val="uk-UA"/>
        </w:rPr>
        <w:t>.</w:t>
      </w:r>
    </w:p>
    <w:p w14:paraId="3E145DFA" w14:textId="59E41097" w:rsidR="004D5EE5" w:rsidRPr="000F1703" w:rsidRDefault="00F144C8" w:rsidP="0013369A">
      <w:pPr>
        <w:spacing w:after="0" w:line="240" w:lineRule="auto"/>
        <w:jc w:val="center"/>
        <w:rPr>
          <w:b/>
          <w:lang w:val="uk-UA"/>
        </w:rPr>
      </w:pPr>
      <w:r w:rsidRPr="000F1703">
        <w:rPr>
          <w:noProof/>
          <w:lang w:eastAsia="ru-RU"/>
        </w:rPr>
        <w:drawing>
          <wp:inline distT="0" distB="0" distL="0" distR="0" wp14:anchorId="1D5D4D2B" wp14:editId="69CFC757">
            <wp:extent cx="5454595" cy="2631882"/>
            <wp:effectExtent l="0" t="0" r="13335" b="1651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4191B25" w14:textId="131C192B" w:rsidR="004D5EE5" w:rsidRPr="00974879" w:rsidRDefault="004D5EE5" w:rsidP="0013369A">
      <w:pPr>
        <w:spacing w:after="0" w:line="240" w:lineRule="auto"/>
        <w:jc w:val="center"/>
        <w:rPr>
          <w:b/>
          <w:lang w:val="uk-UA"/>
        </w:rPr>
      </w:pPr>
      <w:r w:rsidRPr="00974879">
        <w:rPr>
          <w:lang w:val="uk-UA"/>
        </w:rPr>
        <w:t>Рисунок 1.</w:t>
      </w:r>
      <w:r w:rsidR="00974879" w:rsidRPr="00974879">
        <w:rPr>
          <w:lang w:val="uk-UA"/>
        </w:rPr>
        <w:t>4</w:t>
      </w:r>
      <w:r w:rsidRPr="00974879">
        <w:rPr>
          <w:lang w:val="uk-UA"/>
        </w:rPr>
        <w:t xml:space="preserve"> – Що забезпечує впровадження студентоцентрованого навчання?</w:t>
      </w:r>
    </w:p>
    <w:p w14:paraId="2E660727" w14:textId="77777777" w:rsidR="004D5EE5" w:rsidRPr="00177CA1" w:rsidRDefault="004D5EE5" w:rsidP="0013369A">
      <w:pPr>
        <w:spacing w:after="0" w:line="240" w:lineRule="auto"/>
        <w:jc w:val="both"/>
        <w:rPr>
          <w:b/>
          <w:highlight w:val="yellow"/>
          <w:lang w:val="uk-UA"/>
        </w:rPr>
      </w:pPr>
    </w:p>
    <w:p w14:paraId="1B2D3A03" w14:textId="2A91CBF9" w:rsidR="004D5EE5" w:rsidRPr="004E7474" w:rsidRDefault="00480251" w:rsidP="0013369A">
      <w:pPr>
        <w:spacing w:after="0" w:line="240" w:lineRule="auto"/>
        <w:ind w:firstLine="567"/>
        <w:jc w:val="both"/>
        <w:rPr>
          <w:lang w:val="uk-UA"/>
        </w:rPr>
      </w:pPr>
      <w:r w:rsidRPr="000B61B7">
        <w:rPr>
          <w:lang w:val="uk-UA"/>
        </w:rPr>
        <w:t xml:space="preserve">На питання «Якому формату подання інформації при вивченні навчальних дисциплін Ви надаєте </w:t>
      </w:r>
      <w:r w:rsidRPr="004E7474">
        <w:rPr>
          <w:lang w:val="uk-UA"/>
        </w:rPr>
        <w:t>перевагу?» більшість респондентів (</w:t>
      </w:r>
      <w:r w:rsidR="004E7474" w:rsidRPr="004E7474">
        <w:rPr>
          <w:lang w:val="uk-UA"/>
        </w:rPr>
        <w:t>44,4</w:t>
      </w:r>
      <w:r w:rsidRPr="004E7474">
        <w:rPr>
          <w:lang w:val="uk-UA"/>
        </w:rPr>
        <w:t>%)</w:t>
      </w:r>
      <w:r w:rsidR="00B4425A" w:rsidRPr="004E7474">
        <w:rPr>
          <w:lang w:val="uk-UA"/>
        </w:rPr>
        <w:t xml:space="preserve"> віддали перевагу лекційним заняттям з використанням інтерактивних технологій у поєднанні з лабораторними та практичними заняттями у спеціалізованих лабораторіях.</w:t>
      </w:r>
      <w:r w:rsidR="00C614A9" w:rsidRPr="004E7474">
        <w:rPr>
          <w:lang w:val="uk-UA"/>
        </w:rPr>
        <w:t xml:space="preserve"> Але </w:t>
      </w:r>
      <w:r w:rsidR="004E7474" w:rsidRPr="004E7474">
        <w:rPr>
          <w:lang w:val="uk-UA"/>
        </w:rPr>
        <w:t>47,2</w:t>
      </w:r>
      <w:r w:rsidR="00C614A9" w:rsidRPr="004E7474">
        <w:rPr>
          <w:lang w:val="uk-UA"/>
        </w:rPr>
        <w:t xml:space="preserve"> % вважають важливим наявність доступу до електронних ресурсів з навчальних дисциплін (рис. 1.</w:t>
      </w:r>
      <w:r w:rsidR="004E7474" w:rsidRPr="004E7474">
        <w:rPr>
          <w:lang w:val="uk-UA"/>
        </w:rPr>
        <w:t>5</w:t>
      </w:r>
      <w:r w:rsidR="00C614A9" w:rsidRPr="004E7474">
        <w:rPr>
          <w:lang w:val="uk-UA"/>
        </w:rPr>
        <w:t>).</w:t>
      </w:r>
    </w:p>
    <w:p w14:paraId="31174C93" w14:textId="77777777" w:rsidR="004D5EE5" w:rsidRPr="004E7474" w:rsidRDefault="004D5EE5" w:rsidP="0013369A">
      <w:pPr>
        <w:spacing w:after="0" w:line="240" w:lineRule="auto"/>
        <w:ind w:firstLine="567"/>
        <w:jc w:val="both"/>
        <w:rPr>
          <w:b/>
          <w:lang w:val="uk-UA"/>
        </w:rPr>
      </w:pPr>
    </w:p>
    <w:p w14:paraId="65E161D1" w14:textId="3F6051DB" w:rsidR="004D5EE5" w:rsidRPr="00177CA1" w:rsidRDefault="00C614A9" w:rsidP="0013369A">
      <w:pPr>
        <w:spacing w:after="0" w:line="240" w:lineRule="auto"/>
        <w:jc w:val="center"/>
        <w:rPr>
          <w:b/>
          <w:highlight w:val="yellow"/>
          <w:lang w:val="uk-UA"/>
        </w:rPr>
      </w:pPr>
      <w:r w:rsidRPr="00177CA1">
        <w:rPr>
          <w:noProof/>
          <w:highlight w:val="yellow"/>
          <w:lang w:eastAsia="ru-RU"/>
        </w:rPr>
        <w:lastRenderedPageBreak/>
        <w:drawing>
          <wp:inline distT="0" distB="0" distL="0" distR="0" wp14:anchorId="6D31086F" wp14:editId="759EF287">
            <wp:extent cx="4492487" cy="1995777"/>
            <wp:effectExtent l="0" t="0" r="22860" b="2413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2841343" w14:textId="39285DDD" w:rsidR="00480251" w:rsidRPr="004E7474" w:rsidRDefault="00480251" w:rsidP="0013369A">
      <w:pPr>
        <w:spacing w:after="0" w:line="240" w:lineRule="auto"/>
        <w:jc w:val="center"/>
        <w:rPr>
          <w:b/>
          <w:lang w:val="uk-UA"/>
        </w:rPr>
      </w:pPr>
      <w:r w:rsidRPr="004E7474">
        <w:rPr>
          <w:lang w:val="uk-UA"/>
        </w:rPr>
        <w:t>Рисунок 1.</w:t>
      </w:r>
      <w:r w:rsidR="004E7474" w:rsidRPr="004E7474">
        <w:rPr>
          <w:lang w:val="uk-UA"/>
        </w:rPr>
        <w:t>5</w:t>
      </w:r>
      <w:r w:rsidRPr="004E7474">
        <w:rPr>
          <w:lang w:val="uk-UA"/>
        </w:rPr>
        <w:t xml:space="preserve"> – Вибір формату подання інформації при вивченні навчальних дисциплін </w:t>
      </w:r>
    </w:p>
    <w:p w14:paraId="12727488" w14:textId="77777777" w:rsidR="004D5EE5" w:rsidRPr="00177CA1" w:rsidRDefault="004D5EE5" w:rsidP="0013369A">
      <w:pPr>
        <w:spacing w:after="0" w:line="240" w:lineRule="auto"/>
        <w:ind w:firstLine="567"/>
        <w:jc w:val="both"/>
        <w:rPr>
          <w:b/>
          <w:highlight w:val="yellow"/>
          <w:lang w:val="uk-UA"/>
        </w:rPr>
      </w:pPr>
    </w:p>
    <w:p w14:paraId="4BED4492" w14:textId="7EEFB0E9" w:rsidR="004D5EE5" w:rsidRPr="00C758B3" w:rsidRDefault="00B4425A" w:rsidP="0013369A">
      <w:pPr>
        <w:spacing w:after="0" w:line="240" w:lineRule="auto"/>
        <w:ind w:firstLine="567"/>
        <w:jc w:val="both"/>
        <w:rPr>
          <w:lang w:val="uk-UA"/>
        </w:rPr>
      </w:pPr>
      <w:r w:rsidRPr="00A32616">
        <w:rPr>
          <w:lang w:val="uk-UA"/>
        </w:rPr>
        <w:t xml:space="preserve">Здебільшого здобувачі вищої освіти </w:t>
      </w:r>
      <w:r w:rsidR="00D222C3" w:rsidRPr="00A32616">
        <w:rPr>
          <w:lang w:val="uk-UA"/>
        </w:rPr>
        <w:t>періодично</w:t>
      </w:r>
      <w:r w:rsidRPr="00A32616">
        <w:rPr>
          <w:lang w:val="uk-UA"/>
        </w:rPr>
        <w:t xml:space="preserve"> користуються електронною бібліотекою</w:t>
      </w:r>
      <w:r w:rsidR="00D222C3" w:rsidRPr="00A32616">
        <w:rPr>
          <w:lang w:val="uk-UA"/>
        </w:rPr>
        <w:t xml:space="preserve"> та </w:t>
      </w:r>
      <w:r w:rsidR="00D222C3" w:rsidRPr="00C758B3">
        <w:rPr>
          <w:lang w:val="uk-UA"/>
        </w:rPr>
        <w:t xml:space="preserve">електронними ресурсами </w:t>
      </w:r>
      <w:r w:rsidR="00C758B3" w:rsidRPr="00C758B3">
        <w:rPr>
          <w:lang w:val="uk-UA"/>
        </w:rPr>
        <w:t>(рис. 1.6</w:t>
      </w:r>
      <w:r w:rsidRPr="00C758B3">
        <w:rPr>
          <w:lang w:val="uk-UA"/>
        </w:rPr>
        <w:t>).</w:t>
      </w:r>
    </w:p>
    <w:p w14:paraId="6C9FFE13" w14:textId="6AAFE3CE" w:rsidR="00B4425A" w:rsidRPr="00177CA1" w:rsidRDefault="00C614A9" w:rsidP="0013369A">
      <w:pPr>
        <w:spacing w:after="0" w:line="240" w:lineRule="auto"/>
        <w:jc w:val="center"/>
        <w:rPr>
          <w:highlight w:val="yellow"/>
          <w:lang w:val="uk-UA"/>
        </w:rPr>
      </w:pPr>
      <w:r w:rsidRPr="00177CA1">
        <w:rPr>
          <w:noProof/>
          <w:highlight w:val="yellow"/>
          <w:lang w:eastAsia="ru-RU"/>
        </w:rPr>
        <w:drawing>
          <wp:inline distT="0" distB="0" distL="0" distR="0" wp14:anchorId="78C342DA" wp14:editId="336EAF72">
            <wp:extent cx="4572000" cy="2562225"/>
            <wp:effectExtent l="0" t="0" r="1905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2679D12" w14:textId="06C0509A" w:rsidR="00B4425A" w:rsidRPr="00C758B3" w:rsidRDefault="00B4425A" w:rsidP="0013369A">
      <w:pPr>
        <w:spacing w:after="0" w:line="240" w:lineRule="auto"/>
        <w:jc w:val="center"/>
        <w:rPr>
          <w:lang w:val="uk-UA"/>
        </w:rPr>
      </w:pPr>
      <w:r w:rsidRPr="00C758B3">
        <w:rPr>
          <w:lang w:val="uk-UA"/>
        </w:rPr>
        <w:t>Рисунок 1.</w:t>
      </w:r>
      <w:r w:rsidR="00C758B3" w:rsidRPr="00C758B3">
        <w:rPr>
          <w:lang w:val="uk-UA"/>
        </w:rPr>
        <w:t>6</w:t>
      </w:r>
      <w:r w:rsidRPr="00C758B3">
        <w:rPr>
          <w:lang w:val="uk-UA"/>
        </w:rPr>
        <w:t xml:space="preserve"> – Вибір формату подання інформації при вивченні навчальних дисциплін </w:t>
      </w:r>
    </w:p>
    <w:p w14:paraId="43179EBF" w14:textId="77777777" w:rsidR="00D222C3" w:rsidRPr="00177CA1" w:rsidRDefault="00D222C3" w:rsidP="0013369A">
      <w:pPr>
        <w:spacing w:after="0" w:line="240" w:lineRule="auto"/>
        <w:jc w:val="center"/>
        <w:rPr>
          <w:b/>
          <w:highlight w:val="yellow"/>
          <w:lang w:val="uk-UA"/>
        </w:rPr>
      </w:pPr>
    </w:p>
    <w:p w14:paraId="41BB97B3" w14:textId="371E3B77" w:rsidR="00DB2F41" w:rsidRDefault="00DB2F41" w:rsidP="0013369A">
      <w:pPr>
        <w:spacing w:after="0" w:line="240" w:lineRule="auto"/>
        <w:jc w:val="both"/>
        <w:rPr>
          <w:lang w:val="uk-UA"/>
        </w:rPr>
      </w:pPr>
      <w:r w:rsidRPr="000627E0">
        <w:rPr>
          <w:lang w:val="uk-UA"/>
        </w:rPr>
        <w:tab/>
        <w:t>9</w:t>
      </w:r>
      <w:r w:rsidR="000627E0" w:rsidRPr="000627E0">
        <w:rPr>
          <w:lang w:val="uk-UA"/>
        </w:rPr>
        <w:t>7</w:t>
      </w:r>
      <w:r w:rsidRPr="000627E0">
        <w:rPr>
          <w:lang w:val="uk-UA"/>
        </w:rPr>
        <w:t>,</w:t>
      </w:r>
      <w:r w:rsidR="000627E0" w:rsidRPr="000627E0">
        <w:rPr>
          <w:lang w:val="uk-UA"/>
        </w:rPr>
        <w:t>2</w:t>
      </w:r>
      <w:r w:rsidRPr="000627E0">
        <w:rPr>
          <w:lang w:val="uk-UA"/>
        </w:rPr>
        <w:t xml:space="preserve"> % респондентів вважає, що вони повністю забезпечені навчальною літературою в електронному вигляді (рис. 1.</w:t>
      </w:r>
      <w:r w:rsidR="000627E0" w:rsidRPr="000627E0">
        <w:rPr>
          <w:lang w:val="uk-UA"/>
        </w:rPr>
        <w:t>7</w:t>
      </w:r>
      <w:r w:rsidRPr="000627E0">
        <w:rPr>
          <w:lang w:val="uk-UA"/>
        </w:rPr>
        <w:t xml:space="preserve">).  </w:t>
      </w:r>
    </w:p>
    <w:p w14:paraId="2A94B372" w14:textId="2AA589CC" w:rsidR="00FA5460" w:rsidRPr="000627E0" w:rsidRDefault="00FA5460" w:rsidP="00C07C91">
      <w:pPr>
        <w:spacing w:after="0" w:line="240" w:lineRule="auto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BA40DF5" wp14:editId="68253980">
            <wp:extent cx="4540194" cy="1701579"/>
            <wp:effectExtent l="0" t="0" r="13335" b="133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044762B" w14:textId="0B372EF1" w:rsidR="00B4425A" w:rsidRPr="00177CA1" w:rsidRDefault="00B4425A" w:rsidP="0013369A">
      <w:pPr>
        <w:spacing w:after="0" w:line="240" w:lineRule="auto"/>
        <w:jc w:val="center"/>
        <w:rPr>
          <w:b/>
          <w:highlight w:val="yellow"/>
          <w:lang w:val="uk-UA"/>
        </w:rPr>
      </w:pPr>
    </w:p>
    <w:p w14:paraId="63DA40B1" w14:textId="6D69AE6D" w:rsidR="00DB2F41" w:rsidRPr="00C07C91" w:rsidRDefault="00DB2F41" w:rsidP="0013369A">
      <w:pPr>
        <w:spacing w:after="0" w:line="240" w:lineRule="auto"/>
        <w:jc w:val="center"/>
        <w:rPr>
          <w:lang w:val="uk-UA"/>
        </w:rPr>
      </w:pPr>
      <w:r w:rsidRPr="00C07C91">
        <w:rPr>
          <w:lang w:val="uk-UA"/>
        </w:rPr>
        <w:t xml:space="preserve">Рисунок </w:t>
      </w:r>
      <w:r w:rsidR="00C07C91" w:rsidRPr="00C07C91">
        <w:rPr>
          <w:lang w:val="uk-UA"/>
        </w:rPr>
        <w:t>1.7</w:t>
      </w:r>
      <w:r w:rsidRPr="00C07C91">
        <w:rPr>
          <w:lang w:val="uk-UA"/>
        </w:rPr>
        <w:t xml:space="preserve"> – Доступність навчальної літератури в електронній формі</w:t>
      </w:r>
    </w:p>
    <w:p w14:paraId="32AD687A" w14:textId="77777777" w:rsidR="00DC6ECC" w:rsidRPr="00177CA1" w:rsidRDefault="00DC6ECC" w:rsidP="0013369A">
      <w:pPr>
        <w:spacing w:after="0" w:line="240" w:lineRule="auto"/>
        <w:jc w:val="center"/>
        <w:rPr>
          <w:highlight w:val="yellow"/>
          <w:lang w:val="uk-UA"/>
        </w:rPr>
      </w:pPr>
    </w:p>
    <w:p w14:paraId="23107765" w14:textId="18050ACF" w:rsidR="00DC6ECC" w:rsidRPr="00D36153" w:rsidRDefault="00754EAD" w:rsidP="0013369A">
      <w:pPr>
        <w:spacing w:after="0" w:line="240" w:lineRule="auto"/>
        <w:ind w:firstLine="709"/>
        <w:jc w:val="both"/>
        <w:rPr>
          <w:lang w:val="uk-UA"/>
        </w:rPr>
      </w:pPr>
      <w:r w:rsidRPr="00D36153">
        <w:rPr>
          <w:lang w:val="uk-UA"/>
        </w:rPr>
        <w:t xml:space="preserve">48,1 % респондентів </w:t>
      </w:r>
      <w:r w:rsidR="00DC6ECC" w:rsidRPr="00D36153">
        <w:rPr>
          <w:lang w:val="uk-UA"/>
        </w:rPr>
        <w:t>повністю задовольняє забезпечення освітнього процесу комп’ютерами, спеціалізованими лабораторіями</w:t>
      </w:r>
      <w:r w:rsidRPr="00D36153">
        <w:rPr>
          <w:lang w:val="uk-UA"/>
        </w:rPr>
        <w:t>;</w:t>
      </w:r>
      <w:r w:rsidR="00DC6ECC" w:rsidRPr="00D36153">
        <w:rPr>
          <w:lang w:val="uk-UA"/>
        </w:rPr>
        <w:t xml:space="preserve"> </w:t>
      </w:r>
      <w:r w:rsidR="001A74ED" w:rsidRPr="00D36153">
        <w:rPr>
          <w:lang w:val="uk-UA"/>
        </w:rPr>
        <w:t>22,2</w:t>
      </w:r>
      <w:r w:rsidR="00DC6ECC" w:rsidRPr="00D36153">
        <w:rPr>
          <w:lang w:val="uk-UA"/>
        </w:rPr>
        <w:t xml:space="preserve"> % респондентів – частково задовольняє; </w:t>
      </w:r>
      <w:r w:rsidR="001A74ED" w:rsidRPr="00D36153">
        <w:rPr>
          <w:lang w:val="uk-UA"/>
        </w:rPr>
        <w:t>66,7</w:t>
      </w:r>
      <w:r w:rsidR="00DC6ECC" w:rsidRPr="00D36153">
        <w:rPr>
          <w:lang w:val="uk-UA"/>
        </w:rPr>
        <w:t xml:space="preserve"> % респондентів також задоволені роботою бібліотеки та читального залу, </w:t>
      </w:r>
      <w:r w:rsidR="001A74ED" w:rsidRPr="00D36153">
        <w:rPr>
          <w:lang w:val="uk-UA"/>
        </w:rPr>
        <w:t>29,6</w:t>
      </w:r>
      <w:r w:rsidR="00DC6ECC" w:rsidRPr="00D36153">
        <w:rPr>
          <w:lang w:val="uk-UA"/>
        </w:rPr>
        <w:t xml:space="preserve"> % респондентів </w:t>
      </w:r>
      <w:r w:rsidR="00D36153">
        <w:rPr>
          <w:lang w:val="uk-UA"/>
        </w:rPr>
        <w:t>– частково задовольняє (рис. 1.8</w:t>
      </w:r>
      <w:r w:rsidR="00DC6ECC" w:rsidRPr="00D36153">
        <w:rPr>
          <w:lang w:val="uk-UA"/>
        </w:rPr>
        <w:t>).</w:t>
      </w:r>
    </w:p>
    <w:p w14:paraId="19CEC4A6" w14:textId="77777777" w:rsidR="00DB2F41" w:rsidRPr="00D36153" w:rsidRDefault="00DB2F41" w:rsidP="0013369A">
      <w:pPr>
        <w:spacing w:after="0" w:line="240" w:lineRule="auto"/>
        <w:jc w:val="center"/>
        <w:rPr>
          <w:lang w:val="uk-UA"/>
        </w:rPr>
      </w:pPr>
    </w:p>
    <w:p w14:paraId="2C5AC5D5" w14:textId="13DDEC99" w:rsidR="00DB2F41" w:rsidRPr="00177CA1" w:rsidRDefault="001A74ED" w:rsidP="0013369A">
      <w:pPr>
        <w:spacing w:after="0" w:line="240" w:lineRule="auto"/>
        <w:jc w:val="center"/>
        <w:rPr>
          <w:highlight w:val="yellow"/>
          <w:lang w:val="uk-UA"/>
        </w:rPr>
      </w:pPr>
      <w:r w:rsidRPr="00177CA1">
        <w:rPr>
          <w:noProof/>
          <w:highlight w:val="yellow"/>
          <w:lang w:eastAsia="ru-RU"/>
        </w:rPr>
        <w:lastRenderedPageBreak/>
        <w:drawing>
          <wp:inline distT="0" distB="0" distL="0" distR="0" wp14:anchorId="43CA6467" wp14:editId="7157414D">
            <wp:extent cx="5231958" cy="3124863"/>
            <wp:effectExtent l="0" t="0" r="26035" b="18415"/>
            <wp:docPr id="62" name="Диаграмма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72D2233" w14:textId="27EBEF5C" w:rsidR="00DC6ECC" w:rsidRPr="00D36153" w:rsidRDefault="00D36153" w:rsidP="0013369A">
      <w:pPr>
        <w:spacing w:after="0" w:line="240" w:lineRule="auto"/>
        <w:jc w:val="center"/>
        <w:rPr>
          <w:lang w:val="uk-UA"/>
        </w:rPr>
      </w:pPr>
      <w:r w:rsidRPr="00D36153">
        <w:rPr>
          <w:lang w:val="uk-UA"/>
        </w:rPr>
        <w:t>Рисунок 1.8</w:t>
      </w:r>
      <w:r w:rsidR="00DC6ECC" w:rsidRPr="00D36153">
        <w:rPr>
          <w:lang w:val="uk-UA"/>
        </w:rPr>
        <w:t xml:space="preserve"> – Задоволеність спеціалізованими лабораторіями, кабінетами, </w:t>
      </w:r>
    </w:p>
    <w:p w14:paraId="4C3256F7" w14:textId="2985E9C0" w:rsidR="00DC6ECC" w:rsidRPr="00D36153" w:rsidRDefault="00DC6ECC" w:rsidP="0013369A">
      <w:pPr>
        <w:spacing w:after="0" w:line="240" w:lineRule="auto"/>
        <w:jc w:val="center"/>
        <w:rPr>
          <w:lang w:val="uk-UA"/>
        </w:rPr>
      </w:pPr>
      <w:r w:rsidRPr="00D36153">
        <w:rPr>
          <w:lang w:val="uk-UA"/>
        </w:rPr>
        <w:t>бібліотекою, читальними залами</w:t>
      </w:r>
    </w:p>
    <w:p w14:paraId="116541D2" w14:textId="77777777" w:rsidR="00DC6ECC" w:rsidRPr="00177CA1" w:rsidRDefault="00DC6ECC" w:rsidP="0013369A">
      <w:pPr>
        <w:spacing w:after="0" w:line="240" w:lineRule="auto"/>
        <w:jc w:val="center"/>
        <w:rPr>
          <w:highlight w:val="yellow"/>
          <w:lang w:val="uk-UA"/>
        </w:rPr>
      </w:pPr>
    </w:p>
    <w:p w14:paraId="749ACB4F" w14:textId="3F2A4085" w:rsidR="00DC6ECC" w:rsidRPr="00D36153" w:rsidRDefault="00377698" w:rsidP="0013369A">
      <w:pPr>
        <w:spacing w:after="0" w:line="240" w:lineRule="auto"/>
        <w:ind w:firstLine="709"/>
        <w:jc w:val="both"/>
        <w:rPr>
          <w:lang w:val="uk-UA"/>
        </w:rPr>
      </w:pPr>
      <w:r w:rsidRPr="00D36153">
        <w:rPr>
          <w:lang w:val="uk-UA"/>
        </w:rPr>
        <w:t>При визначенні методів навчання здобувачів, які були застосовані викладачами на заняттях, респондентам запропоновано список, що включає метод: кейсів, мозкового штурму, ситуаційного аналізу, порт фоліо, рольової гри, тренінгу. Опитування виявило (рис. 1.</w:t>
      </w:r>
      <w:r w:rsidR="00D36153" w:rsidRPr="00D36153">
        <w:rPr>
          <w:lang w:val="uk-UA"/>
        </w:rPr>
        <w:t>9.)</w:t>
      </w:r>
    </w:p>
    <w:tbl>
      <w:tblPr>
        <w:tblW w:w="8107" w:type="dxa"/>
        <w:jc w:val="center"/>
        <w:tblInd w:w="93" w:type="dxa"/>
        <w:tblLook w:val="04A0" w:firstRow="1" w:lastRow="0" w:firstColumn="1" w:lastColumn="0" w:noHBand="0" w:noVBand="1"/>
      </w:tblPr>
      <w:tblGrid>
        <w:gridCol w:w="440"/>
        <w:gridCol w:w="5680"/>
        <w:gridCol w:w="1227"/>
        <w:gridCol w:w="760"/>
      </w:tblGrid>
      <w:tr w:rsidR="00D36153" w:rsidRPr="00D36153" w14:paraId="3190D78B" w14:textId="77777777" w:rsidTr="00D36153">
        <w:trPr>
          <w:trHeight w:val="369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C54DA" w14:textId="77777777" w:rsidR="00D36153" w:rsidRPr="00D36153" w:rsidRDefault="00D36153" w:rsidP="00D36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FE226" w14:textId="77777777" w:rsidR="00D36153" w:rsidRPr="00D36153" w:rsidRDefault="00D36153" w:rsidP="00D36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3930F" w14:textId="77777777" w:rsidR="00D36153" w:rsidRPr="00D36153" w:rsidRDefault="00D36153" w:rsidP="00D36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кількість відповідей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D9CAF" w14:textId="77777777" w:rsidR="00D36153" w:rsidRPr="00D36153" w:rsidRDefault="00D36153" w:rsidP="00D36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D36153" w:rsidRPr="00D36153" w14:paraId="45E6A9F6" w14:textId="77777777" w:rsidTr="00D36153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9AD8A" w14:textId="77777777" w:rsidR="00D36153" w:rsidRPr="00D36153" w:rsidRDefault="00D36153" w:rsidP="00D361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F9FA" w:fill="F8F9FA"/>
            <w:hideMark/>
          </w:tcPr>
          <w:p w14:paraId="347349E5" w14:textId="77777777" w:rsidR="00D36153" w:rsidRPr="00D36153" w:rsidRDefault="00D36153" w:rsidP="00D36153">
            <w:pPr>
              <w:spacing w:after="0" w:line="240" w:lineRule="auto"/>
              <w:jc w:val="center"/>
              <w:rPr>
                <w:rFonts w:ascii="Docs-Roboto" w:eastAsia="Times New Roman" w:hAnsi="Docs-Roboto" w:cs="Arial"/>
                <w:b/>
                <w:bCs/>
                <w:color w:val="202124"/>
                <w:sz w:val="18"/>
                <w:szCs w:val="18"/>
                <w:lang w:eastAsia="ru-RU"/>
              </w:rPr>
            </w:pPr>
            <w:r w:rsidRPr="00D36153">
              <w:rPr>
                <w:rFonts w:ascii="Docs-Roboto" w:eastAsia="Times New Roman" w:hAnsi="Docs-Roboto" w:cs="Arial"/>
                <w:b/>
                <w:bCs/>
                <w:color w:val="202124"/>
                <w:sz w:val="18"/>
                <w:szCs w:val="18"/>
                <w:lang w:eastAsia="ru-RU"/>
              </w:rPr>
              <w:t xml:space="preserve">Які із методів навчання були застосовані викладачами на заняттях (виберіть із запропонованого списку чи допишіть </w:t>
            </w:r>
            <w:proofErr w:type="gramStart"/>
            <w:r w:rsidRPr="00D36153">
              <w:rPr>
                <w:rFonts w:ascii="Docs-Roboto" w:eastAsia="Times New Roman" w:hAnsi="Docs-Roboto" w:cs="Arial"/>
                <w:b/>
                <w:bCs/>
                <w:color w:val="202124"/>
                <w:sz w:val="18"/>
                <w:szCs w:val="18"/>
                <w:lang w:eastAsia="ru-RU"/>
              </w:rPr>
              <w:t>св</w:t>
            </w:r>
            <w:proofErr w:type="gramEnd"/>
            <w:r w:rsidRPr="00D36153">
              <w:rPr>
                <w:rFonts w:ascii="Docs-Roboto" w:eastAsia="Times New Roman" w:hAnsi="Docs-Roboto" w:cs="Arial"/>
                <w:b/>
                <w:bCs/>
                <w:color w:val="202124"/>
                <w:sz w:val="18"/>
                <w:szCs w:val="18"/>
                <w:lang w:eastAsia="ru-RU"/>
              </w:rPr>
              <w:t>ій варіант відповіді):</w:t>
            </w:r>
          </w:p>
        </w:tc>
      </w:tr>
      <w:tr w:rsidR="00D36153" w:rsidRPr="00D36153" w14:paraId="4247A0FD" w14:textId="77777777" w:rsidTr="00D36153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31F0E" w14:textId="39862465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B2A03" w14:textId="77777777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Метод кейсі</w:t>
            </w:r>
            <w:proofErr w:type="gramStart"/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78B55" w14:textId="77777777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91858" w14:textId="77777777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13,9</w:t>
            </w:r>
          </w:p>
        </w:tc>
      </w:tr>
      <w:tr w:rsidR="00D36153" w:rsidRPr="00D36153" w14:paraId="56D9ECB2" w14:textId="77777777" w:rsidTr="00D36153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7EC84" w14:textId="6A2F1BB1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95F4A" w14:textId="77777777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Метод мозкового штурму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983D4" w14:textId="77777777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35613" w14:textId="77777777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41,7</w:t>
            </w:r>
          </w:p>
        </w:tc>
      </w:tr>
      <w:tr w:rsidR="00D36153" w:rsidRPr="00D36153" w14:paraId="6D37EC1D" w14:textId="77777777" w:rsidTr="00D36153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A41AF" w14:textId="2C464FCF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681F4" w14:textId="77777777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Метод ситуаційного аналізу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4745C" w14:textId="77777777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0E96E" w14:textId="77777777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27,8</w:t>
            </w:r>
          </w:p>
        </w:tc>
      </w:tr>
      <w:tr w:rsidR="00D36153" w:rsidRPr="00D36153" w14:paraId="2C687721" w14:textId="77777777" w:rsidTr="00D36153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9F57F" w14:textId="2070915E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BBE43" w14:textId="77777777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Метод портфоліо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EE1DE" w14:textId="77777777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BA6BD" w14:textId="77777777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D36153" w:rsidRPr="00D36153" w14:paraId="3332522C" w14:textId="77777777" w:rsidTr="00D36153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F0375" w14:textId="19857C79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46A81" w14:textId="77777777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Метод рольової гри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6D040" w14:textId="77777777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FE49E" w14:textId="77777777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D36153" w:rsidRPr="00D36153" w14:paraId="061B98CD" w14:textId="77777777" w:rsidTr="00D36153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7347B" w14:textId="3104DFB6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52BFF" w14:textId="77777777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Метод тренінгу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5C342" w14:textId="77777777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08ADA" w14:textId="77777777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D36153" w:rsidRPr="00D36153" w14:paraId="571F0464" w14:textId="77777777" w:rsidTr="00D36153">
        <w:trPr>
          <w:trHeight w:val="277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1AE83" w14:textId="230713F9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0C0B8" w14:textId="77777777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Вкажіть інші методи навчання, які використовують викладачі </w:t>
            </w:r>
            <w:proofErr w:type="gramStart"/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роботі на заняттях (наступна строка):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E0054" w14:textId="77777777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F53D0" w14:textId="77777777" w:rsidR="00D36153" w:rsidRPr="00D36153" w:rsidRDefault="00D36153" w:rsidP="00D36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14:paraId="316458B1" w14:textId="52F9FDE4" w:rsidR="00DB2F41" w:rsidRPr="00177CA1" w:rsidRDefault="00DB2F41" w:rsidP="0013369A">
      <w:pPr>
        <w:spacing w:after="0" w:line="240" w:lineRule="auto"/>
        <w:jc w:val="center"/>
        <w:rPr>
          <w:highlight w:val="yellow"/>
          <w:lang w:val="uk-UA"/>
        </w:rPr>
      </w:pPr>
    </w:p>
    <w:p w14:paraId="3682BC2A" w14:textId="00908DF6" w:rsidR="00B06A82" w:rsidRDefault="00D36153" w:rsidP="0013369A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Рисунок 1.9</w:t>
      </w:r>
      <w:r w:rsidR="00B06A82" w:rsidRPr="00D36153">
        <w:rPr>
          <w:lang w:val="uk-UA"/>
        </w:rPr>
        <w:t xml:space="preserve">– </w:t>
      </w:r>
      <w:r w:rsidR="00A746ED" w:rsidRPr="00D36153">
        <w:rPr>
          <w:lang w:val="uk-UA"/>
        </w:rPr>
        <w:t>Методи навчання здобувачів вищої освіти</w:t>
      </w:r>
    </w:p>
    <w:p w14:paraId="44A2D0D0" w14:textId="77777777" w:rsidR="00D36153" w:rsidRPr="00D36153" w:rsidRDefault="00D36153" w:rsidP="0013369A">
      <w:pPr>
        <w:spacing w:after="0" w:line="240" w:lineRule="auto"/>
        <w:jc w:val="center"/>
        <w:rPr>
          <w:lang w:val="uk-UA"/>
        </w:rPr>
      </w:pPr>
    </w:p>
    <w:p w14:paraId="719B7D28" w14:textId="71205B55" w:rsidR="00A746ED" w:rsidRPr="00177CA1" w:rsidRDefault="00C80CE9" w:rsidP="0013369A">
      <w:pPr>
        <w:spacing w:after="0" w:line="240" w:lineRule="auto"/>
        <w:jc w:val="center"/>
        <w:rPr>
          <w:highlight w:val="yellow"/>
          <w:lang w:val="uk-UA"/>
        </w:rPr>
      </w:pPr>
      <w:r w:rsidRPr="00177CA1">
        <w:rPr>
          <w:noProof/>
          <w:highlight w:val="yellow"/>
          <w:lang w:eastAsia="ru-RU"/>
        </w:rPr>
        <w:drawing>
          <wp:inline distT="0" distB="0" distL="0" distR="0" wp14:anchorId="015CC292" wp14:editId="5FF08193">
            <wp:extent cx="4961614" cy="2830664"/>
            <wp:effectExtent l="0" t="0" r="10795" b="27305"/>
            <wp:docPr id="69" name="Диаграмма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4EE86A3" w14:textId="0C84DBE5" w:rsidR="00DC3A9E" w:rsidRPr="00D36153" w:rsidRDefault="00DB2F41" w:rsidP="0013369A">
      <w:pPr>
        <w:spacing w:after="0" w:line="240" w:lineRule="auto"/>
        <w:jc w:val="center"/>
        <w:rPr>
          <w:lang w:val="uk-UA"/>
        </w:rPr>
      </w:pPr>
      <w:r w:rsidRPr="00D36153">
        <w:rPr>
          <w:lang w:val="uk-UA"/>
        </w:rPr>
        <w:lastRenderedPageBreak/>
        <w:t xml:space="preserve"> </w:t>
      </w:r>
      <w:r w:rsidR="00D36153" w:rsidRPr="00D36153">
        <w:rPr>
          <w:lang w:val="uk-UA"/>
        </w:rPr>
        <w:t>Рисунок 1.10</w:t>
      </w:r>
      <w:r w:rsidR="00DC3A9E" w:rsidRPr="00D36153">
        <w:rPr>
          <w:lang w:val="uk-UA"/>
        </w:rPr>
        <w:t xml:space="preserve"> – </w:t>
      </w:r>
      <w:r w:rsidR="008E3E88" w:rsidRPr="00D36153">
        <w:rPr>
          <w:lang w:val="uk-UA"/>
        </w:rPr>
        <w:t xml:space="preserve">Зацікавленість </w:t>
      </w:r>
      <w:r w:rsidR="00DC3A9E" w:rsidRPr="00D36153">
        <w:rPr>
          <w:lang w:val="uk-UA"/>
        </w:rPr>
        <w:t xml:space="preserve"> здобувачів вищої освіти</w:t>
      </w:r>
      <w:r w:rsidR="008E3E88" w:rsidRPr="00D36153">
        <w:rPr>
          <w:lang w:val="uk-UA"/>
        </w:rPr>
        <w:t xml:space="preserve"> у навчанні, доступ до публічної інформації</w:t>
      </w:r>
    </w:p>
    <w:p w14:paraId="193D5785" w14:textId="46F0AAA1" w:rsidR="00DB2F41" w:rsidRPr="00D36153" w:rsidRDefault="00DB2F41" w:rsidP="0013369A">
      <w:pPr>
        <w:spacing w:after="0" w:line="240" w:lineRule="auto"/>
        <w:jc w:val="center"/>
        <w:rPr>
          <w:b/>
          <w:lang w:val="uk-UA"/>
        </w:rPr>
      </w:pPr>
    </w:p>
    <w:p w14:paraId="3D7636B9" w14:textId="585C0668" w:rsidR="00B4425A" w:rsidRPr="00D36153" w:rsidRDefault="00D36153" w:rsidP="0013369A">
      <w:pPr>
        <w:spacing w:after="0" w:line="240" w:lineRule="auto"/>
        <w:ind w:firstLine="567"/>
        <w:jc w:val="both"/>
        <w:rPr>
          <w:lang w:val="uk-UA"/>
        </w:rPr>
      </w:pPr>
      <w:r w:rsidRPr="00D36153">
        <w:rPr>
          <w:lang w:val="uk-UA"/>
        </w:rPr>
        <w:t>88,9</w:t>
      </w:r>
      <w:r w:rsidR="008E3E88" w:rsidRPr="00D36153">
        <w:rPr>
          <w:lang w:val="uk-UA"/>
        </w:rPr>
        <w:t xml:space="preserve"> % респондентів стимулює до самоосвіти навчання на освітньо-професійній програмі, </w:t>
      </w:r>
      <w:r w:rsidRPr="00D36153">
        <w:rPr>
          <w:lang w:val="uk-UA"/>
        </w:rPr>
        <w:t>11,1 %</w:t>
      </w:r>
      <w:r w:rsidR="008E3E88" w:rsidRPr="00D36153">
        <w:rPr>
          <w:lang w:val="uk-UA"/>
        </w:rPr>
        <w:t xml:space="preserve"> респондентам було важко відповісти на вказане питання</w:t>
      </w:r>
      <w:r w:rsidRPr="00D36153">
        <w:rPr>
          <w:lang w:val="uk-UA"/>
        </w:rPr>
        <w:t xml:space="preserve"> (рис.1.11</w:t>
      </w:r>
      <w:r w:rsidR="008E3E88" w:rsidRPr="00D36153">
        <w:rPr>
          <w:lang w:val="uk-UA"/>
        </w:rPr>
        <w:t>).</w:t>
      </w:r>
    </w:p>
    <w:p w14:paraId="1ACDA3F4" w14:textId="783FC751" w:rsidR="00D36153" w:rsidRDefault="00D36153" w:rsidP="0013369A">
      <w:pPr>
        <w:spacing w:after="0" w:line="240" w:lineRule="auto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1CE71B3" wp14:editId="6D946FB2">
            <wp:extent cx="4595854" cy="1606163"/>
            <wp:effectExtent l="0" t="0" r="14605" b="1333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E177C50" w14:textId="77777777" w:rsidR="00D36153" w:rsidRDefault="00D36153" w:rsidP="0013369A">
      <w:pPr>
        <w:spacing w:after="0" w:line="240" w:lineRule="auto"/>
        <w:jc w:val="center"/>
        <w:rPr>
          <w:lang w:val="uk-UA"/>
        </w:rPr>
      </w:pPr>
    </w:p>
    <w:p w14:paraId="5C6506AC" w14:textId="67618405" w:rsidR="008E3E88" w:rsidRPr="00D36153" w:rsidRDefault="00D36153" w:rsidP="0013369A">
      <w:pPr>
        <w:spacing w:after="0" w:line="240" w:lineRule="auto"/>
        <w:jc w:val="center"/>
        <w:rPr>
          <w:lang w:val="uk-UA"/>
        </w:rPr>
      </w:pPr>
      <w:r w:rsidRPr="00D36153">
        <w:rPr>
          <w:lang w:val="uk-UA"/>
        </w:rPr>
        <w:t>Рисунок 1.11</w:t>
      </w:r>
      <w:r w:rsidR="008E3E88" w:rsidRPr="00D36153">
        <w:rPr>
          <w:lang w:val="uk-UA"/>
        </w:rPr>
        <w:t xml:space="preserve"> – Стимулювання до самоосвіти здобувачів вищої освіти на ОПП</w:t>
      </w:r>
    </w:p>
    <w:p w14:paraId="2ABDDB5D" w14:textId="77777777" w:rsidR="008E3E88" w:rsidRPr="00177CA1" w:rsidRDefault="008E3E88" w:rsidP="0013369A">
      <w:pPr>
        <w:spacing w:after="0" w:line="240" w:lineRule="auto"/>
        <w:jc w:val="center"/>
        <w:rPr>
          <w:b/>
          <w:highlight w:val="yellow"/>
          <w:lang w:val="uk-UA"/>
        </w:rPr>
      </w:pPr>
    </w:p>
    <w:p w14:paraId="69FBC566" w14:textId="7A5B82BE" w:rsidR="000436F9" w:rsidRPr="00D81AD6" w:rsidRDefault="00BE1831" w:rsidP="0013369A">
      <w:pPr>
        <w:spacing w:after="0" w:line="240" w:lineRule="auto"/>
        <w:ind w:firstLine="709"/>
        <w:jc w:val="both"/>
      </w:pPr>
      <w:r w:rsidRPr="00D81AD6">
        <w:rPr>
          <w:lang w:val="uk-UA"/>
        </w:rPr>
        <w:t xml:space="preserve">Здебільшого здобувачі вищої освіти висловлюють власну думку про якість надання освітніх послуг в Університеті під час проведення анкетування, таку позицію висловили </w:t>
      </w:r>
      <w:r w:rsidR="00D81AD6" w:rsidRPr="00D81AD6">
        <w:rPr>
          <w:lang w:val="uk-UA"/>
        </w:rPr>
        <w:t>55,6 % респондентів (рис.1.12</w:t>
      </w:r>
      <w:r w:rsidRPr="00D81AD6">
        <w:rPr>
          <w:lang w:val="uk-UA"/>
        </w:rPr>
        <w:t xml:space="preserve">). </w:t>
      </w:r>
    </w:p>
    <w:tbl>
      <w:tblPr>
        <w:tblW w:w="8107" w:type="dxa"/>
        <w:jc w:val="center"/>
        <w:tblInd w:w="93" w:type="dxa"/>
        <w:tblLook w:val="04A0" w:firstRow="1" w:lastRow="0" w:firstColumn="1" w:lastColumn="0" w:noHBand="0" w:noVBand="1"/>
      </w:tblPr>
      <w:tblGrid>
        <w:gridCol w:w="440"/>
        <w:gridCol w:w="5680"/>
        <w:gridCol w:w="1227"/>
        <w:gridCol w:w="760"/>
      </w:tblGrid>
      <w:tr w:rsidR="00D81AD6" w:rsidRPr="00D81AD6" w14:paraId="08373C92" w14:textId="77777777" w:rsidTr="00D81AD6">
        <w:trPr>
          <w:trHeight w:val="403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A25B0" w14:textId="77777777" w:rsidR="00D81AD6" w:rsidRPr="00D81AD6" w:rsidRDefault="00D81AD6" w:rsidP="00D81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A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4B7BD" w14:textId="77777777" w:rsidR="00D81AD6" w:rsidRPr="00D81AD6" w:rsidRDefault="00D81AD6" w:rsidP="00D81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A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9AF97" w14:textId="77777777" w:rsidR="00D81AD6" w:rsidRPr="00D81AD6" w:rsidRDefault="00D81AD6" w:rsidP="00D81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A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кількість відповідей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21D35" w14:textId="77777777" w:rsidR="00D81AD6" w:rsidRPr="00D81AD6" w:rsidRDefault="00D81AD6" w:rsidP="00D81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A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D81AD6" w:rsidRPr="00D81AD6" w14:paraId="1D224067" w14:textId="77777777" w:rsidTr="00D81AD6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B5700" w14:textId="77777777" w:rsidR="00D81AD6" w:rsidRPr="00D81AD6" w:rsidRDefault="00D81AD6" w:rsidP="00D81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E56A0D" w14:textId="77777777" w:rsidR="00D81AD6" w:rsidRPr="00D81AD6" w:rsidRDefault="00D81AD6" w:rsidP="00D81AD6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202124"/>
                <w:sz w:val="18"/>
                <w:szCs w:val="18"/>
                <w:lang w:eastAsia="ru-RU"/>
              </w:rPr>
            </w:pPr>
            <w:r w:rsidRPr="00D81AD6">
              <w:rPr>
                <w:rFonts w:ascii="Roboto" w:eastAsia="Times New Roman" w:hAnsi="Roboto" w:cs="Arial"/>
                <w:b/>
                <w:bCs/>
                <w:color w:val="202124"/>
                <w:sz w:val="18"/>
                <w:szCs w:val="18"/>
                <w:lang w:eastAsia="ru-RU"/>
              </w:rPr>
              <w:t xml:space="preserve">Спосіб у який Ви можете висловити власну думку </w:t>
            </w:r>
            <w:proofErr w:type="gramStart"/>
            <w:r w:rsidRPr="00D81AD6">
              <w:rPr>
                <w:rFonts w:ascii="Roboto" w:eastAsia="Times New Roman" w:hAnsi="Roboto" w:cs="Arial"/>
                <w:b/>
                <w:bCs/>
                <w:color w:val="202124"/>
                <w:sz w:val="18"/>
                <w:szCs w:val="18"/>
                <w:lang w:eastAsia="ru-RU"/>
              </w:rPr>
              <w:t>про</w:t>
            </w:r>
            <w:proofErr w:type="gramEnd"/>
            <w:r w:rsidRPr="00D81AD6">
              <w:rPr>
                <w:rFonts w:ascii="Roboto" w:eastAsia="Times New Roman" w:hAnsi="Roboto" w:cs="Arial"/>
                <w:b/>
                <w:bCs/>
                <w:color w:val="202124"/>
                <w:sz w:val="18"/>
                <w:szCs w:val="18"/>
                <w:lang w:eastAsia="ru-RU"/>
              </w:rPr>
              <w:t xml:space="preserve"> якість надання освітніх послуг в Університеті.</w:t>
            </w:r>
          </w:p>
        </w:tc>
      </w:tr>
      <w:tr w:rsidR="00D81AD6" w:rsidRPr="00D81AD6" w14:paraId="0A310B01" w14:textId="77777777" w:rsidTr="00D81AD6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D746D" w14:textId="23B3B912" w:rsidR="00D81AD6" w:rsidRPr="00D81AD6" w:rsidRDefault="00D81AD6" w:rsidP="00D81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85E9B" w14:textId="77777777" w:rsidR="00D81AD6" w:rsidRPr="00D81AD6" w:rsidRDefault="00D81AD6" w:rsidP="00D81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Обговорити на засіданнях органів студентського самоврядування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20E17" w14:textId="77777777" w:rsidR="00D81AD6" w:rsidRPr="00D81AD6" w:rsidRDefault="00D81AD6" w:rsidP="00D81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36185" w14:textId="77777777" w:rsidR="00D81AD6" w:rsidRPr="00D81AD6" w:rsidRDefault="00D81AD6" w:rsidP="00D81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36,1</w:t>
            </w:r>
          </w:p>
        </w:tc>
      </w:tr>
      <w:tr w:rsidR="00D81AD6" w:rsidRPr="00D81AD6" w14:paraId="0B80551C" w14:textId="77777777" w:rsidTr="00D81AD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FD732" w14:textId="40CFBFBB" w:rsidR="00D81AD6" w:rsidRPr="00D81AD6" w:rsidRDefault="00D81AD6" w:rsidP="00D81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F449F" w14:textId="77777777" w:rsidR="00D81AD6" w:rsidRPr="00D81AD6" w:rsidRDefault="00D81AD6" w:rsidP="00D81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Висловитися </w:t>
            </w:r>
            <w:proofErr w:type="gramStart"/>
            <w:r w:rsidRPr="00D81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81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проведення анкетування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86F16" w14:textId="77777777" w:rsidR="00D81AD6" w:rsidRPr="00D81AD6" w:rsidRDefault="00D81AD6" w:rsidP="00D81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A8B57" w14:textId="77777777" w:rsidR="00D81AD6" w:rsidRPr="00D81AD6" w:rsidRDefault="00D81AD6" w:rsidP="00D81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55,6</w:t>
            </w:r>
          </w:p>
        </w:tc>
      </w:tr>
      <w:tr w:rsidR="00D81AD6" w:rsidRPr="00D81AD6" w14:paraId="4FE44B32" w14:textId="77777777" w:rsidTr="00D81AD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DD81B" w14:textId="7CFB3AC0" w:rsidR="00D81AD6" w:rsidRPr="00D81AD6" w:rsidRDefault="00D81AD6" w:rsidP="00D81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861D8" w14:textId="77777777" w:rsidR="00D81AD6" w:rsidRPr="00D81AD6" w:rsidRDefault="00D81AD6" w:rsidP="00D81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Не маю такої можливості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E73BD" w14:textId="77777777" w:rsidR="00D81AD6" w:rsidRPr="00D81AD6" w:rsidRDefault="00D81AD6" w:rsidP="00D81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ACC16" w14:textId="77777777" w:rsidR="00D81AD6" w:rsidRPr="00D81AD6" w:rsidRDefault="00D81AD6" w:rsidP="00D81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8,3</w:t>
            </w:r>
          </w:p>
        </w:tc>
      </w:tr>
      <w:tr w:rsidR="00D81AD6" w:rsidRPr="00D81AD6" w14:paraId="21B9FE81" w14:textId="77777777" w:rsidTr="00D81AD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5A9E4" w14:textId="4D09E570" w:rsidR="00D81AD6" w:rsidRPr="00D81AD6" w:rsidRDefault="00D81AD6" w:rsidP="00D81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33272" w14:textId="77777777" w:rsidR="00D81AD6" w:rsidRPr="00D81AD6" w:rsidRDefault="00D81AD6" w:rsidP="00D81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Власний варіант відповіді (наступна строка):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3161C" w14:textId="0FB3E61D" w:rsidR="00D81AD6" w:rsidRPr="00D81AD6" w:rsidRDefault="00D81AD6" w:rsidP="00D81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3E9B8" w14:textId="77777777" w:rsidR="00D81AD6" w:rsidRPr="00D81AD6" w:rsidRDefault="00D81AD6" w:rsidP="00D81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81AD6" w:rsidRPr="00D81AD6" w14:paraId="015C53F8" w14:textId="77777777" w:rsidTr="00D81AD6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41AFF" w14:textId="146FF46D" w:rsidR="00D81AD6" w:rsidRPr="00D81AD6" w:rsidRDefault="00D81AD6" w:rsidP="00D81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C8CD0" w14:textId="77777777" w:rsidR="00D81AD6" w:rsidRPr="00D81AD6" w:rsidRDefault="00D81AD6" w:rsidP="00D81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A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30225" w14:textId="77777777" w:rsidR="00D81AD6" w:rsidRPr="00D81AD6" w:rsidRDefault="00D81AD6" w:rsidP="00D81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A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62593" w14:textId="77777777" w:rsidR="00D81AD6" w:rsidRPr="00D81AD6" w:rsidRDefault="00D81AD6" w:rsidP="00D81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A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14:paraId="374A8585" w14:textId="4B8FCE42" w:rsidR="008E3E88" w:rsidRPr="00D81AD6" w:rsidRDefault="008E3E88" w:rsidP="0013369A">
      <w:pPr>
        <w:spacing w:after="0" w:line="240" w:lineRule="auto"/>
        <w:jc w:val="center"/>
        <w:rPr>
          <w:lang w:val="uk-UA"/>
        </w:rPr>
      </w:pPr>
    </w:p>
    <w:p w14:paraId="4DCD7DE3" w14:textId="70B694B2" w:rsidR="00382B9A" w:rsidRPr="00D81AD6" w:rsidRDefault="00382B9A" w:rsidP="0013369A">
      <w:pPr>
        <w:spacing w:after="0" w:line="240" w:lineRule="auto"/>
        <w:jc w:val="center"/>
        <w:rPr>
          <w:lang w:val="uk-UA"/>
        </w:rPr>
      </w:pPr>
      <w:r w:rsidRPr="00D81AD6">
        <w:rPr>
          <w:lang w:val="uk-UA"/>
        </w:rPr>
        <w:t>Рисунок 1.1</w:t>
      </w:r>
      <w:r w:rsidR="00D81AD6" w:rsidRPr="00D81AD6">
        <w:rPr>
          <w:lang w:val="uk-UA"/>
        </w:rPr>
        <w:t>2</w:t>
      </w:r>
      <w:r w:rsidRPr="00D81AD6">
        <w:rPr>
          <w:lang w:val="uk-UA"/>
        </w:rPr>
        <w:t xml:space="preserve"> – </w:t>
      </w:r>
      <w:r w:rsidR="00BE1831" w:rsidRPr="00D81AD6">
        <w:rPr>
          <w:lang w:val="uk-UA"/>
        </w:rPr>
        <w:t>Висловлення власної думки</w:t>
      </w:r>
      <w:r w:rsidRPr="00D81AD6">
        <w:rPr>
          <w:lang w:val="uk-UA"/>
        </w:rPr>
        <w:t xml:space="preserve"> здобувач</w:t>
      </w:r>
      <w:r w:rsidR="00BE1831" w:rsidRPr="00D81AD6">
        <w:rPr>
          <w:lang w:val="uk-UA"/>
        </w:rPr>
        <w:t>ами</w:t>
      </w:r>
      <w:r w:rsidRPr="00D81AD6">
        <w:rPr>
          <w:lang w:val="uk-UA"/>
        </w:rPr>
        <w:t xml:space="preserve"> вищої освіти </w:t>
      </w:r>
      <w:r w:rsidR="00BE1831" w:rsidRPr="00D81AD6">
        <w:rPr>
          <w:lang w:val="uk-UA"/>
        </w:rPr>
        <w:t>щодо освітніх послуг в КНУТД</w:t>
      </w:r>
    </w:p>
    <w:p w14:paraId="5F634474" w14:textId="77777777" w:rsidR="00382B9A" w:rsidRPr="00177CA1" w:rsidRDefault="00382B9A" w:rsidP="0013369A">
      <w:pPr>
        <w:spacing w:after="0" w:line="240" w:lineRule="auto"/>
        <w:jc w:val="center"/>
        <w:rPr>
          <w:b/>
          <w:highlight w:val="yellow"/>
          <w:lang w:val="uk-UA"/>
        </w:rPr>
      </w:pPr>
    </w:p>
    <w:p w14:paraId="7AD0B7B6" w14:textId="77777777" w:rsidR="000436F9" w:rsidRPr="00177CA1" w:rsidRDefault="000436F9" w:rsidP="0013369A">
      <w:pPr>
        <w:spacing w:after="0" w:line="240" w:lineRule="auto"/>
        <w:jc w:val="center"/>
        <w:rPr>
          <w:b/>
          <w:highlight w:val="yellow"/>
          <w:lang w:val="uk-UA"/>
        </w:rPr>
      </w:pPr>
    </w:p>
    <w:p w14:paraId="16FAB421" w14:textId="60A5C12E" w:rsidR="00985237" w:rsidRPr="00D81AD6" w:rsidRDefault="00985237" w:rsidP="0013369A">
      <w:pPr>
        <w:spacing w:after="0" w:line="240" w:lineRule="auto"/>
        <w:ind w:firstLine="567"/>
        <w:jc w:val="both"/>
        <w:rPr>
          <w:b/>
          <w:lang w:val="uk-UA"/>
        </w:rPr>
      </w:pPr>
      <w:r w:rsidRPr="00D81AD6">
        <w:rPr>
          <w:b/>
          <w:lang w:val="uk-UA"/>
        </w:rPr>
        <w:t>2. Моніторинг академічної доброчесності та вивчення інформованості щодо вирішення конфліктних ситуацій</w:t>
      </w:r>
    </w:p>
    <w:p w14:paraId="22B9BF95" w14:textId="1DC08D4D" w:rsidR="005D0149" w:rsidRPr="00D81AD6" w:rsidRDefault="005D0149" w:rsidP="0013369A">
      <w:pPr>
        <w:spacing w:after="0" w:line="240" w:lineRule="auto"/>
        <w:ind w:firstLine="567"/>
        <w:jc w:val="both"/>
        <w:rPr>
          <w:rFonts w:cstheme="minorHAnsi"/>
          <w:szCs w:val="18"/>
          <w:lang w:val="uk-UA"/>
        </w:rPr>
      </w:pPr>
      <w:r w:rsidRPr="00D81AD6">
        <w:rPr>
          <w:rFonts w:cstheme="minorHAnsi"/>
          <w:szCs w:val="18"/>
          <w:lang w:val="uk-UA"/>
        </w:rPr>
        <w:t xml:space="preserve">Метою моніторингу було вивчення рівня задоволеності здобувачів </w:t>
      </w:r>
      <w:r w:rsidR="00E43D86" w:rsidRPr="00D81AD6">
        <w:rPr>
          <w:rFonts w:cstheme="minorHAnsi"/>
          <w:szCs w:val="18"/>
          <w:lang w:val="uk-UA"/>
        </w:rPr>
        <w:t>другого</w:t>
      </w:r>
      <w:r w:rsidRPr="00D81AD6">
        <w:rPr>
          <w:rFonts w:cstheme="minorHAnsi"/>
          <w:szCs w:val="18"/>
          <w:lang w:val="uk-UA"/>
        </w:rPr>
        <w:t xml:space="preserve"> (</w:t>
      </w:r>
      <w:r w:rsidR="00E43D86" w:rsidRPr="00D81AD6">
        <w:rPr>
          <w:rFonts w:cstheme="minorHAnsi"/>
          <w:szCs w:val="18"/>
          <w:lang w:val="uk-UA"/>
        </w:rPr>
        <w:t>магістерського</w:t>
      </w:r>
      <w:r w:rsidRPr="00D81AD6">
        <w:rPr>
          <w:rFonts w:cstheme="minorHAnsi"/>
          <w:szCs w:val="18"/>
          <w:lang w:val="uk-UA"/>
        </w:rPr>
        <w:t xml:space="preserve">) рівня вищої світи, щодо контрольних заходів, оцінювання здобувачів, академічної доброчесності та вивчення інформованості щодо вирішення конфліктних ситуацій у КНУТД, з метою усунення недоліків і надання дієвої допомоги усім учасникам освітнього процесу. </w:t>
      </w:r>
    </w:p>
    <w:p w14:paraId="4A144EC0" w14:textId="5DF3BE22" w:rsidR="005D0149" w:rsidRPr="00D81AD6" w:rsidRDefault="005D0149" w:rsidP="0013369A">
      <w:pPr>
        <w:spacing w:after="0" w:line="240" w:lineRule="auto"/>
        <w:ind w:firstLine="567"/>
        <w:jc w:val="both"/>
        <w:rPr>
          <w:rFonts w:cstheme="minorHAnsi"/>
          <w:sz w:val="28"/>
          <w:lang w:val="uk-UA"/>
        </w:rPr>
      </w:pPr>
      <w:r w:rsidRPr="00D81AD6">
        <w:rPr>
          <w:rFonts w:cstheme="minorHAnsi"/>
          <w:szCs w:val="18"/>
          <w:lang w:val="uk-UA"/>
        </w:rPr>
        <w:t xml:space="preserve">Опитування проводилось </w:t>
      </w:r>
      <w:r w:rsidR="00E57777" w:rsidRPr="00D81AD6">
        <w:rPr>
          <w:rFonts w:cstheme="minorHAnsi"/>
          <w:szCs w:val="18"/>
          <w:lang w:val="uk-UA"/>
        </w:rPr>
        <w:t xml:space="preserve">у період </w:t>
      </w:r>
      <w:r w:rsidRPr="00D81AD6">
        <w:rPr>
          <w:rFonts w:cstheme="minorHAnsi"/>
          <w:szCs w:val="18"/>
          <w:lang w:val="uk-UA"/>
        </w:rPr>
        <w:t xml:space="preserve">з </w:t>
      </w:r>
      <w:r w:rsidR="00D81AD6" w:rsidRPr="00D81AD6">
        <w:rPr>
          <w:rFonts w:cstheme="minorHAnsi"/>
          <w:szCs w:val="18"/>
          <w:lang w:val="uk-UA"/>
        </w:rPr>
        <w:t>30</w:t>
      </w:r>
      <w:r w:rsidRPr="00D81AD6">
        <w:rPr>
          <w:rFonts w:cstheme="minorHAnsi"/>
          <w:szCs w:val="18"/>
          <w:lang w:val="uk-UA"/>
        </w:rPr>
        <w:t>.1</w:t>
      </w:r>
      <w:r w:rsidR="00D81AD6" w:rsidRPr="00D81AD6">
        <w:rPr>
          <w:rFonts w:cstheme="minorHAnsi"/>
          <w:szCs w:val="18"/>
          <w:lang w:val="uk-UA"/>
        </w:rPr>
        <w:t>0</w:t>
      </w:r>
      <w:r w:rsidRPr="00D81AD6">
        <w:rPr>
          <w:rFonts w:cstheme="minorHAnsi"/>
          <w:szCs w:val="18"/>
          <w:lang w:val="uk-UA"/>
        </w:rPr>
        <w:t xml:space="preserve">.2023 р. по </w:t>
      </w:r>
      <w:r w:rsidR="00D81AD6" w:rsidRPr="00D81AD6">
        <w:rPr>
          <w:rFonts w:cstheme="minorHAnsi"/>
          <w:szCs w:val="18"/>
          <w:lang w:val="uk-UA"/>
        </w:rPr>
        <w:t>03</w:t>
      </w:r>
      <w:r w:rsidRPr="00D81AD6">
        <w:rPr>
          <w:rFonts w:cstheme="minorHAnsi"/>
          <w:szCs w:val="18"/>
          <w:lang w:val="uk-UA"/>
        </w:rPr>
        <w:t>.11.2023 р.</w:t>
      </w:r>
    </w:p>
    <w:p w14:paraId="16F607A4" w14:textId="20200A04" w:rsidR="00E3565C" w:rsidRPr="00D81AD6" w:rsidRDefault="00C00489" w:rsidP="0013369A">
      <w:pPr>
        <w:spacing w:after="0" w:line="240" w:lineRule="auto"/>
        <w:ind w:firstLine="567"/>
        <w:jc w:val="both"/>
        <w:rPr>
          <w:lang w:val="uk-UA"/>
        </w:rPr>
      </w:pPr>
      <w:r w:rsidRPr="00D81AD6">
        <w:rPr>
          <w:lang w:val="uk-UA"/>
        </w:rPr>
        <w:t xml:space="preserve">В опитуванні </w:t>
      </w:r>
      <w:r w:rsidR="00E061F8" w:rsidRPr="00D81AD6">
        <w:rPr>
          <w:lang w:val="uk-UA"/>
        </w:rPr>
        <w:t>взяли</w:t>
      </w:r>
      <w:r w:rsidRPr="00D81AD6">
        <w:rPr>
          <w:lang w:val="uk-UA"/>
        </w:rPr>
        <w:t xml:space="preserve"> участь </w:t>
      </w:r>
      <w:r w:rsidR="00D81AD6" w:rsidRPr="00D81AD6">
        <w:rPr>
          <w:lang w:val="uk-UA"/>
        </w:rPr>
        <w:t>3</w:t>
      </w:r>
      <w:r w:rsidRPr="00D81AD6">
        <w:rPr>
          <w:lang w:val="uk-UA"/>
        </w:rPr>
        <w:t xml:space="preserve">6 здобувачів другого (магістерського) рівня вищої освіти факультету </w:t>
      </w:r>
      <w:r w:rsidR="00D81AD6" w:rsidRPr="00D81AD6">
        <w:rPr>
          <w:lang w:val="uk-UA"/>
        </w:rPr>
        <w:t>управління та бізнес-дизайну</w:t>
      </w:r>
      <w:r w:rsidRPr="00D81AD6">
        <w:rPr>
          <w:lang w:val="uk-UA"/>
        </w:rPr>
        <w:t>, освітньо-професійної програми «</w:t>
      </w:r>
      <w:r w:rsidR="00D81AD6" w:rsidRPr="00D81AD6">
        <w:rPr>
          <w:lang w:val="uk-UA"/>
        </w:rPr>
        <w:t>Інноваційнепідприємництво та управління Startup проєктами</w:t>
      </w:r>
      <w:r w:rsidRPr="00D81AD6">
        <w:rPr>
          <w:lang w:val="uk-UA"/>
        </w:rPr>
        <w:t>»</w:t>
      </w:r>
      <w:r w:rsidR="00E3565C" w:rsidRPr="00D81AD6">
        <w:rPr>
          <w:lang w:val="uk-UA"/>
        </w:rPr>
        <w:t>.</w:t>
      </w:r>
    </w:p>
    <w:p w14:paraId="59E429BA" w14:textId="77777777" w:rsidR="00E3565C" w:rsidRPr="00177CA1" w:rsidRDefault="00E3565C" w:rsidP="0013369A">
      <w:pPr>
        <w:spacing w:after="0" w:line="240" w:lineRule="auto"/>
        <w:ind w:firstLine="567"/>
        <w:jc w:val="center"/>
        <w:rPr>
          <w:highlight w:val="yellow"/>
          <w:lang w:val="uk-UA"/>
        </w:rPr>
      </w:pPr>
    </w:p>
    <w:p w14:paraId="212199C4" w14:textId="0B66D253" w:rsidR="00E3565C" w:rsidRPr="00D81AD6" w:rsidRDefault="00C00489" w:rsidP="0013369A">
      <w:pPr>
        <w:spacing w:after="0" w:line="240" w:lineRule="auto"/>
        <w:ind w:firstLine="567"/>
        <w:jc w:val="both"/>
        <w:rPr>
          <w:lang w:val="uk-UA"/>
        </w:rPr>
      </w:pPr>
      <w:r w:rsidRPr="00D81AD6">
        <w:rPr>
          <w:lang w:val="uk-UA"/>
        </w:rPr>
        <w:t>100</w:t>
      </w:r>
      <w:r w:rsidR="00143376" w:rsidRPr="00D81AD6">
        <w:rPr>
          <w:lang w:val="uk-UA"/>
        </w:rPr>
        <w:t xml:space="preserve"> % респондентів зручніше ознайомлюватися із силабусом навчальних дисциплін через модульне середовище освітнього процесу.</w:t>
      </w:r>
    </w:p>
    <w:p w14:paraId="43014F20" w14:textId="77777777" w:rsidR="00985237" w:rsidRPr="00177CA1" w:rsidRDefault="00985237" w:rsidP="0013369A">
      <w:pPr>
        <w:spacing w:after="0" w:line="240" w:lineRule="auto"/>
        <w:ind w:firstLine="567"/>
        <w:jc w:val="both"/>
        <w:rPr>
          <w:b/>
          <w:highlight w:val="yellow"/>
          <w:lang w:val="uk-UA"/>
        </w:rPr>
      </w:pPr>
    </w:p>
    <w:p w14:paraId="434188F1" w14:textId="432A23C7" w:rsidR="00143376" w:rsidRPr="00A0037A" w:rsidRDefault="00A0037A" w:rsidP="0013369A">
      <w:pPr>
        <w:spacing w:after="0" w:line="240" w:lineRule="auto"/>
        <w:ind w:firstLine="567"/>
        <w:jc w:val="both"/>
        <w:rPr>
          <w:lang w:val="uk-UA"/>
        </w:rPr>
      </w:pPr>
      <w:r w:rsidRPr="00A0037A">
        <w:rPr>
          <w:lang w:val="uk-UA"/>
        </w:rPr>
        <w:t xml:space="preserve">26,9 % </w:t>
      </w:r>
      <w:r w:rsidR="00143376" w:rsidRPr="00A0037A">
        <w:rPr>
          <w:lang w:val="uk-UA"/>
        </w:rPr>
        <w:t xml:space="preserve">опитаних респондентів була надана можливість повторного проходження контрольних заходів, </w:t>
      </w:r>
      <w:r w:rsidRPr="00A0037A">
        <w:rPr>
          <w:lang w:val="uk-UA"/>
        </w:rPr>
        <w:t xml:space="preserve">73,1 % </w:t>
      </w:r>
      <w:r w:rsidR="00143376" w:rsidRPr="00A0037A">
        <w:rPr>
          <w:lang w:val="uk-UA"/>
        </w:rPr>
        <w:t>– н</w:t>
      </w:r>
      <w:r w:rsidRPr="00A0037A">
        <w:rPr>
          <w:lang w:val="uk-UA"/>
        </w:rPr>
        <w:t>е мали у цьому потреби</w:t>
      </w:r>
      <w:r w:rsidR="00143376" w:rsidRPr="00A0037A">
        <w:rPr>
          <w:lang w:val="uk-UA"/>
        </w:rPr>
        <w:t>.</w:t>
      </w:r>
    </w:p>
    <w:p w14:paraId="506CC6F0" w14:textId="77777777" w:rsidR="00143376" w:rsidRPr="00177CA1" w:rsidRDefault="00143376" w:rsidP="0013369A">
      <w:pPr>
        <w:spacing w:after="0" w:line="240" w:lineRule="auto"/>
        <w:ind w:firstLine="567"/>
        <w:jc w:val="center"/>
        <w:rPr>
          <w:highlight w:val="yellow"/>
          <w:lang w:val="uk-UA"/>
        </w:rPr>
      </w:pPr>
    </w:p>
    <w:p w14:paraId="007E0974" w14:textId="42ED2DB3" w:rsidR="00E1126E" w:rsidRPr="00A0037A" w:rsidRDefault="00E1126E" w:rsidP="0013369A">
      <w:pPr>
        <w:spacing w:after="0" w:line="240" w:lineRule="auto"/>
        <w:ind w:firstLine="567"/>
        <w:jc w:val="both"/>
        <w:rPr>
          <w:lang w:val="uk-UA"/>
        </w:rPr>
      </w:pPr>
      <w:r w:rsidRPr="00A0037A">
        <w:rPr>
          <w:lang w:val="uk-UA"/>
        </w:rPr>
        <w:t>Узагальнені результати опитування здобувачів щодо засад академічної доброчесності та вивчення інформованості щодо вирішення конфліктних ситуацій представлені на рис. 2.</w:t>
      </w:r>
      <w:r w:rsidR="00A0037A" w:rsidRPr="00A0037A">
        <w:rPr>
          <w:lang w:val="uk-UA"/>
        </w:rPr>
        <w:t>1</w:t>
      </w:r>
      <w:r w:rsidRPr="00A0037A">
        <w:rPr>
          <w:lang w:val="uk-UA"/>
        </w:rPr>
        <w:t xml:space="preserve">. Опитування виявило,що необхідно приділяти більше уваги </w:t>
      </w:r>
      <w:r w:rsidR="00E061F8" w:rsidRPr="00A0037A">
        <w:rPr>
          <w:lang w:val="uk-UA"/>
        </w:rPr>
        <w:t>при</w:t>
      </w:r>
      <w:r w:rsidRPr="00A0037A">
        <w:rPr>
          <w:lang w:val="uk-UA"/>
        </w:rPr>
        <w:t xml:space="preserve"> інформуванн</w:t>
      </w:r>
      <w:r w:rsidR="00E061F8" w:rsidRPr="00A0037A">
        <w:rPr>
          <w:lang w:val="uk-UA"/>
        </w:rPr>
        <w:t>і</w:t>
      </w:r>
      <w:r w:rsidRPr="00A0037A">
        <w:rPr>
          <w:lang w:val="uk-UA"/>
        </w:rPr>
        <w:t xml:space="preserve"> студентства щодо дотримання принципів доброчесності, шляхів вирішення конфліктних ситуацій, недопущення корупції у стінах ЗВО.</w:t>
      </w:r>
    </w:p>
    <w:p w14:paraId="4C6958BC" w14:textId="11B9AA0F" w:rsidR="00E1126E" w:rsidRPr="00177CA1" w:rsidRDefault="00D20FC3" w:rsidP="0013369A">
      <w:pPr>
        <w:spacing w:after="0" w:line="240" w:lineRule="auto"/>
        <w:jc w:val="both"/>
        <w:rPr>
          <w:highlight w:val="yellow"/>
          <w:lang w:val="uk-UA"/>
        </w:rPr>
      </w:pPr>
      <w:r w:rsidRPr="00177CA1">
        <w:rPr>
          <w:noProof/>
          <w:highlight w:val="yellow"/>
          <w:lang w:eastAsia="ru-RU"/>
        </w:rPr>
        <w:lastRenderedPageBreak/>
        <w:drawing>
          <wp:inline distT="0" distB="0" distL="0" distR="0" wp14:anchorId="75595AF3" wp14:editId="0FCB9FAF">
            <wp:extent cx="6468110" cy="396303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396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191972" w14:textId="12C80765" w:rsidR="00E1126E" w:rsidRPr="00A0037A" w:rsidRDefault="00E1126E" w:rsidP="0013369A">
      <w:pPr>
        <w:spacing w:after="0" w:line="240" w:lineRule="auto"/>
        <w:ind w:firstLine="567"/>
        <w:jc w:val="center"/>
        <w:rPr>
          <w:lang w:val="uk-UA"/>
        </w:rPr>
      </w:pPr>
      <w:r w:rsidRPr="00A0037A">
        <w:rPr>
          <w:lang w:val="uk-UA"/>
        </w:rPr>
        <w:t>Рисунок 2.</w:t>
      </w:r>
      <w:r w:rsidR="00A0037A" w:rsidRPr="00A0037A">
        <w:rPr>
          <w:lang w:val="uk-UA"/>
        </w:rPr>
        <w:t>1</w:t>
      </w:r>
      <w:r w:rsidRPr="00A0037A">
        <w:rPr>
          <w:lang w:val="uk-UA"/>
        </w:rPr>
        <w:t xml:space="preserve"> – Опитування щодо доброчесності та рівня поінформованості здобувачів освіти</w:t>
      </w:r>
    </w:p>
    <w:p w14:paraId="540AE471" w14:textId="77777777" w:rsidR="00E1126E" w:rsidRPr="00177CA1" w:rsidRDefault="00E1126E" w:rsidP="0013369A">
      <w:pPr>
        <w:spacing w:after="0" w:line="240" w:lineRule="auto"/>
        <w:ind w:firstLine="567"/>
        <w:jc w:val="both"/>
        <w:rPr>
          <w:highlight w:val="yellow"/>
          <w:lang w:val="uk-UA"/>
        </w:rPr>
      </w:pPr>
    </w:p>
    <w:p w14:paraId="2ADD195A" w14:textId="1ED0794C" w:rsidR="00985237" w:rsidRPr="00A0037A" w:rsidRDefault="00985237" w:rsidP="00A0037A">
      <w:pPr>
        <w:spacing w:after="0" w:line="240" w:lineRule="auto"/>
        <w:ind w:firstLine="567"/>
        <w:jc w:val="center"/>
        <w:rPr>
          <w:b/>
          <w:lang w:val="uk-UA"/>
        </w:rPr>
      </w:pPr>
      <w:r w:rsidRPr="00A0037A">
        <w:rPr>
          <w:b/>
          <w:lang w:val="uk-UA"/>
        </w:rPr>
        <w:t>3. Моніторинг практико-орієнтованості освітньої програми</w:t>
      </w:r>
    </w:p>
    <w:p w14:paraId="3D81C049" w14:textId="77777777" w:rsidR="007B3158" w:rsidRPr="00177CA1" w:rsidRDefault="007B3158" w:rsidP="0013369A">
      <w:pPr>
        <w:spacing w:after="0" w:line="240" w:lineRule="auto"/>
        <w:ind w:firstLine="567"/>
        <w:jc w:val="both"/>
        <w:rPr>
          <w:b/>
          <w:highlight w:val="yellow"/>
          <w:lang w:val="uk-UA"/>
        </w:rPr>
      </w:pPr>
    </w:p>
    <w:p w14:paraId="04CDD671" w14:textId="39A5F719" w:rsidR="007A2E0D" w:rsidRPr="00927F81" w:rsidRDefault="007A2E0D" w:rsidP="0013369A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val="uk-UA"/>
        </w:rPr>
      </w:pPr>
      <w:r w:rsidRPr="00927F81">
        <w:rPr>
          <w:rFonts w:ascii="Calibri" w:eastAsia="Calibri" w:hAnsi="Calibri" w:cs="Times New Roman"/>
          <w:lang w:val="uk-UA"/>
        </w:rPr>
        <w:t>Практична підготовка здобувачів вищої освіти за ОПП «</w:t>
      </w:r>
      <w:r w:rsidR="00927F81" w:rsidRPr="00927F81">
        <w:rPr>
          <w:lang w:val="uk-UA"/>
        </w:rPr>
        <w:t>Інноваційнепідприємництво та управління Startup проєктами</w:t>
      </w:r>
      <w:r w:rsidRPr="00927F81">
        <w:rPr>
          <w:rFonts w:ascii="Calibri" w:eastAsia="Calibri" w:hAnsi="Calibri" w:cs="Times New Roman"/>
          <w:lang w:val="uk-UA"/>
        </w:rPr>
        <w:t xml:space="preserve">» </w:t>
      </w:r>
      <w:r w:rsidR="00E43D86" w:rsidRPr="00927F81">
        <w:rPr>
          <w:rFonts w:ascii="Calibri" w:eastAsia="Calibri" w:hAnsi="Calibri" w:cs="Times New Roman"/>
          <w:lang w:val="uk-UA"/>
        </w:rPr>
        <w:t>другого</w:t>
      </w:r>
      <w:r w:rsidRPr="00927F81">
        <w:rPr>
          <w:rFonts w:ascii="Calibri" w:eastAsia="Calibri" w:hAnsi="Calibri" w:cs="Times New Roman"/>
          <w:lang w:val="uk-UA"/>
        </w:rPr>
        <w:t xml:space="preserve"> (</w:t>
      </w:r>
      <w:r w:rsidR="00E43D86" w:rsidRPr="00927F81">
        <w:rPr>
          <w:rFonts w:ascii="Calibri" w:eastAsia="Calibri" w:hAnsi="Calibri" w:cs="Times New Roman"/>
          <w:lang w:val="uk-UA"/>
        </w:rPr>
        <w:t>магістерського</w:t>
      </w:r>
      <w:r w:rsidRPr="00927F81">
        <w:rPr>
          <w:rFonts w:ascii="Calibri" w:eastAsia="Calibri" w:hAnsi="Calibri" w:cs="Times New Roman"/>
          <w:lang w:val="uk-UA"/>
        </w:rPr>
        <w:t xml:space="preserve">) рівня вищої освіти відбувається в </w:t>
      </w:r>
      <w:r w:rsidR="00921DC0" w:rsidRPr="00927F81">
        <w:rPr>
          <w:rFonts w:ascii="Calibri" w:eastAsia="Calibri" w:hAnsi="Calibri" w:cs="Times New Roman"/>
          <w:lang w:val="uk-UA"/>
        </w:rPr>
        <w:t>два</w:t>
      </w:r>
      <w:r w:rsidRPr="00927F81">
        <w:rPr>
          <w:rFonts w:ascii="Calibri" w:eastAsia="Calibri" w:hAnsi="Calibri" w:cs="Times New Roman"/>
          <w:lang w:val="uk-UA"/>
        </w:rPr>
        <w:t xml:space="preserve"> етапи: </w:t>
      </w:r>
      <w:r w:rsidR="00921DC0" w:rsidRPr="00927F81">
        <w:rPr>
          <w:rFonts w:ascii="Calibri" w:eastAsia="Calibri" w:hAnsi="Calibri" w:cs="Times New Roman"/>
          <w:lang w:val="uk-UA"/>
        </w:rPr>
        <w:t>науково-дослідна</w:t>
      </w:r>
      <w:r w:rsidRPr="00927F81">
        <w:rPr>
          <w:rFonts w:ascii="Calibri" w:eastAsia="Calibri" w:hAnsi="Calibri" w:cs="Times New Roman"/>
          <w:lang w:val="uk-UA"/>
        </w:rPr>
        <w:t xml:space="preserve"> та переддипломна</w:t>
      </w:r>
      <w:r w:rsidR="00921DC0" w:rsidRPr="00927F81">
        <w:rPr>
          <w:rFonts w:ascii="Calibri" w:eastAsia="Calibri" w:hAnsi="Calibri" w:cs="Times New Roman"/>
          <w:lang w:val="uk-UA"/>
        </w:rPr>
        <w:t xml:space="preserve"> практики у 2 та 3 семестрах відповідно.</w:t>
      </w:r>
      <w:r w:rsidRPr="00927F81">
        <w:rPr>
          <w:rFonts w:ascii="Calibri" w:eastAsia="Calibri" w:hAnsi="Calibri" w:cs="Times New Roman"/>
          <w:lang w:val="uk-UA"/>
        </w:rPr>
        <w:t xml:space="preserve"> </w:t>
      </w:r>
    </w:p>
    <w:p w14:paraId="67A86F5C" w14:textId="728320BA" w:rsidR="007A2E0D" w:rsidRPr="00927F81" w:rsidRDefault="007A2E0D" w:rsidP="0013369A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val="uk-UA"/>
        </w:rPr>
      </w:pPr>
      <w:r w:rsidRPr="00927F81">
        <w:rPr>
          <w:rFonts w:ascii="Calibri" w:eastAsia="Calibri" w:hAnsi="Calibri" w:cs="Times New Roman"/>
          <w:lang w:val="uk-UA"/>
        </w:rPr>
        <w:t>Проходження практичної підготовки здобувачами вищої освіти КНУТД регулюється «Положенням про організацію та проведення практич</w:t>
      </w:r>
      <w:r w:rsidR="00921DC0" w:rsidRPr="00927F81">
        <w:rPr>
          <w:rFonts w:ascii="Calibri" w:eastAsia="Calibri" w:hAnsi="Calibri" w:cs="Times New Roman"/>
          <w:lang w:val="uk-UA"/>
        </w:rPr>
        <w:t>ної підготовки студентів КНУТД</w:t>
      </w:r>
      <w:r w:rsidRPr="00927F81">
        <w:rPr>
          <w:rFonts w:ascii="Calibri" w:eastAsia="Calibri" w:hAnsi="Calibri" w:cs="Times New Roman"/>
          <w:lang w:val="uk-UA"/>
        </w:rPr>
        <w:t xml:space="preserve">. </w:t>
      </w:r>
    </w:p>
    <w:p w14:paraId="5731DE6C" w14:textId="773B3B64" w:rsidR="007A2E0D" w:rsidRPr="00927F81" w:rsidRDefault="007B3158" w:rsidP="0013369A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val="uk-UA"/>
        </w:rPr>
      </w:pPr>
      <w:r w:rsidRPr="00927F81">
        <w:rPr>
          <w:rFonts w:ascii="Calibri" w:eastAsia="Calibri" w:hAnsi="Calibri" w:cs="Times New Roman"/>
          <w:lang w:val="uk-UA"/>
        </w:rPr>
        <w:t>Після закінчення практики у</w:t>
      </w:r>
      <w:r w:rsidR="007A2E0D" w:rsidRPr="00927F81">
        <w:rPr>
          <w:rFonts w:ascii="Calibri" w:eastAsia="Calibri" w:hAnsi="Calibri" w:cs="Times New Roman"/>
          <w:lang w:val="uk-UA"/>
        </w:rPr>
        <w:t xml:space="preserve"> </w:t>
      </w:r>
      <w:r w:rsidRPr="00927F81">
        <w:rPr>
          <w:rFonts w:ascii="Calibri" w:eastAsia="Calibri" w:hAnsi="Calibri" w:cs="Times New Roman"/>
          <w:lang w:val="uk-UA"/>
        </w:rPr>
        <w:t>період з 11.03.2024</w:t>
      </w:r>
      <w:r w:rsidR="00D503DA" w:rsidRPr="00927F81">
        <w:rPr>
          <w:rFonts w:ascii="Calibri" w:eastAsia="Calibri" w:hAnsi="Calibri" w:cs="Times New Roman"/>
          <w:lang w:val="uk-UA"/>
        </w:rPr>
        <w:t xml:space="preserve"> </w:t>
      </w:r>
      <w:r w:rsidRPr="00927F81">
        <w:rPr>
          <w:rFonts w:ascii="Calibri" w:eastAsia="Calibri" w:hAnsi="Calibri" w:cs="Times New Roman"/>
          <w:lang w:val="uk-UA"/>
        </w:rPr>
        <w:t xml:space="preserve">р. по </w:t>
      </w:r>
      <w:r w:rsidR="00921DC0" w:rsidRPr="00927F81">
        <w:rPr>
          <w:rFonts w:ascii="Calibri" w:eastAsia="Calibri" w:hAnsi="Calibri" w:cs="Times New Roman"/>
          <w:lang w:val="uk-UA"/>
        </w:rPr>
        <w:t>15</w:t>
      </w:r>
      <w:r w:rsidRPr="00927F81">
        <w:rPr>
          <w:rFonts w:ascii="Calibri" w:eastAsia="Calibri" w:hAnsi="Calibri" w:cs="Times New Roman"/>
          <w:lang w:val="uk-UA"/>
        </w:rPr>
        <w:t>.03.2024</w:t>
      </w:r>
      <w:r w:rsidR="00D503DA" w:rsidRPr="00927F81">
        <w:rPr>
          <w:rFonts w:ascii="Calibri" w:eastAsia="Calibri" w:hAnsi="Calibri" w:cs="Times New Roman"/>
          <w:lang w:val="uk-UA"/>
        </w:rPr>
        <w:t xml:space="preserve"> </w:t>
      </w:r>
      <w:r w:rsidRPr="00927F81">
        <w:rPr>
          <w:rFonts w:ascii="Calibri" w:eastAsia="Calibri" w:hAnsi="Calibri" w:cs="Times New Roman"/>
          <w:lang w:val="uk-UA"/>
        </w:rPr>
        <w:t xml:space="preserve">р. </w:t>
      </w:r>
      <w:r w:rsidR="007A2E0D" w:rsidRPr="00927F81">
        <w:rPr>
          <w:rFonts w:ascii="Calibri" w:eastAsia="Calibri" w:hAnsi="Calibri" w:cs="Times New Roman"/>
          <w:lang w:val="uk-UA"/>
        </w:rPr>
        <w:t xml:space="preserve">опитування пройшли </w:t>
      </w:r>
      <w:r w:rsidR="00921DC0" w:rsidRPr="00927F81">
        <w:rPr>
          <w:rFonts w:ascii="Calibri" w:eastAsia="Calibri" w:hAnsi="Calibri" w:cs="Times New Roman"/>
          <w:lang w:val="uk-UA"/>
        </w:rPr>
        <w:t>10</w:t>
      </w:r>
      <w:r w:rsidR="008F1BAD" w:rsidRPr="00927F81">
        <w:rPr>
          <w:rFonts w:ascii="Calibri" w:eastAsia="Calibri" w:hAnsi="Calibri" w:cs="Times New Roman"/>
          <w:lang w:val="uk-UA"/>
        </w:rPr>
        <w:t xml:space="preserve"> здобувач</w:t>
      </w:r>
      <w:r w:rsidR="00921DC0" w:rsidRPr="00927F81">
        <w:rPr>
          <w:rFonts w:ascii="Calibri" w:eastAsia="Calibri" w:hAnsi="Calibri" w:cs="Times New Roman"/>
          <w:lang w:val="uk-UA"/>
        </w:rPr>
        <w:t>ів 1 року навчання</w:t>
      </w:r>
      <w:r w:rsidR="007A2E0D" w:rsidRPr="00927F81">
        <w:rPr>
          <w:rFonts w:ascii="Calibri" w:eastAsia="Calibri" w:hAnsi="Calibri" w:cs="Times New Roman"/>
          <w:lang w:val="uk-UA"/>
        </w:rPr>
        <w:t>, які навчаються на ОПП «</w:t>
      </w:r>
      <w:r w:rsidR="00927F81" w:rsidRPr="00927F81">
        <w:rPr>
          <w:lang w:val="uk-UA"/>
        </w:rPr>
        <w:t>Інноваційнепідприємництво та управління Startup проєктами</w:t>
      </w:r>
      <w:r w:rsidR="007A2E0D" w:rsidRPr="00927F81">
        <w:rPr>
          <w:rFonts w:ascii="Calibri" w:eastAsia="Calibri" w:hAnsi="Calibri" w:cs="Times New Roman"/>
          <w:lang w:val="uk-UA"/>
        </w:rPr>
        <w:t xml:space="preserve">». </w:t>
      </w:r>
    </w:p>
    <w:p w14:paraId="01EC122B" w14:textId="03CABCDE" w:rsidR="007A2E0D" w:rsidRPr="00927F81" w:rsidRDefault="00931F91" w:rsidP="0013369A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val="uk-UA"/>
        </w:rPr>
      </w:pPr>
      <w:r w:rsidRPr="00927F81">
        <w:rPr>
          <w:rFonts w:ascii="Calibri" w:eastAsia="Calibri" w:hAnsi="Calibri" w:cs="Times New Roman"/>
          <w:lang w:val="uk-UA"/>
        </w:rPr>
        <w:t xml:space="preserve">Опитування показало, що </w:t>
      </w:r>
      <w:r w:rsidR="00921DC0" w:rsidRPr="00927F81">
        <w:rPr>
          <w:rFonts w:ascii="Calibri" w:eastAsia="Calibri" w:hAnsi="Calibri" w:cs="Times New Roman"/>
          <w:lang w:val="uk-UA"/>
        </w:rPr>
        <w:t>90 % опитаних</w:t>
      </w:r>
      <w:r w:rsidRPr="00927F81">
        <w:rPr>
          <w:rFonts w:ascii="Calibri" w:eastAsia="Calibri" w:hAnsi="Calibri" w:cs="Times New Roman"/>
          <w:lang w:val="uk-UA"/>
        </w:rPr>
        <w:t xml:space="preserve"> повністю задоволені переліком пропонованих баз практики в межах освітньо-професійної програми, </w:t>
      </w:r>
      <w:r w:rsidR="00921DC0" w:rsidRPr="00927F81">
        <w:rPr>
          <w:rFonts w:ascii="Calibri" w:eastAsia="Calibri" w:hAnsi="Calibri" w:cs="Times New Roman"/>
          <w:lang w:val="uk-UA"/>
        </w:rPr>
        <w:t>1 респондент</w:t>
      </w:r>
      <w:r w:rsidRPr="00927F81">
        <w:rPr>
          <w:rFonts w:ascii="Calibri" w:eastAsia="Calibri" w:hAnsi="Calibri" w:cs="Times New Roman"/>
          <w:lang w:val="uk-UA"/>
        </w:rPr>
        <w:t xml:space="preserve"> (</w:t>
      </w:r>
      <w:r w:rsidR="00921DC0" w:rsidRPr="00927F81">
        <w:rPr>
          <w:rFonts w:ascii="Calibri" w:eastAsia="Calibri" w:hAnsi="Calibri" w:cs="Times New Roman"/>
          <w:lang w:val="uk-UA"/>
        </w:rPr>
        <w:t>10,0</w:t>
      </w:r>
      <w:r w:rsidRPr="00927F81">
        <w:rPr>
          <w:rFonts w:ascii="Calibri" w:eastAsia="Calibri" w:hAnsi="Calibri" w:cs="Times New Roman"/>
          <w:lang w:val="uk-UA"/>
        </w:rPr>
        <w:t xml:space="preserve"> % опитаних) частково задоволен</w:t>
      </w:r>
      <w:r w:rsidR="00921DC0" w:rsidRPr="00927F81">
        <w:rPr>
          <w:rFonts w:ascii="Calibri" w:eastAsia="Calibri" w:hAnsi="Calibri" w:cs="Times New Roman"/>
          <w:lang w:val="uk-UA"/>
        </w:rPr>
        <w:t xml:space="preserve">ий. </w:t>
      </w:r>
    </w:p>
    <w:p w14:paraId="0F9E32C9" w14:textId="771AA54A" w:rsidR="00931F91" w:rsidRPr="00927F81" w:rsidRDefault="00921DC0" w:rsidP="0013369A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val="uk-UA"/>
        </w:rPr>
      </w:pPr>
      <w:r w:rsidRPr="00927F81">
        <w:rPr>
          <w:rFonts w:ascii="Calibri" w:eastAsia="Calibri" w:hAnsi="Calibri" w:cs="Times New Roman"/>
          <w:lang w:val="uk-UA"/>
        </w:rPr>
        <w:t>100</w:t>
      </w:r>
      <w:r w:rsidR="00931F91" w:rsidRPr="00927F81">
        <w:rPr>
          <w:rFonts w:ascii="Calibri" w:eastAsia="Calibri" w:hAnsi="Calibri" w:cs="Times New Roman"/>
          <w:lang w:val="uk-UA"/>
        </w:rPr>
        <w:t xml:space="preserve"> % </w:t>
      </w:r>
      <w:r w:rsidR="007C5E4D" w:rsidRPr="00927F81">
        <w:rPr>
          <w:rFonts w:ascii="Calibri" w:eastAsia="Calibri" w:hAnsi="Calibri" w:cs="Times New Roman"/>
          <w:lang w:val="uk-UA"/>
        </w:rPr>
        <w:t xml:space="preserve">респондентів </w:t>
      </w:r>
      <w:r w:rsidR="00931F91" w:rsidRPr="00927F81">
        <w:rPr>
          <w:rFonts w:ascii="Calibri" w:eastAsia="Calibri" w:hAnsi="Calibri" w:cs="Times New Roman"/>
          <w:lang w:val="uk-UA"/>
        </w:rPr>
        <w:t xml:space="preserve">самостійно обрали заклад, установу чи організацію для проходження практики з пропонованого кафедрою </w:t>
      </w:r>
      <w:r w:rsidR="00927F81" w:rsidRPr="00927F81">
        <w:rPr>
          <w:rFonts w:ascii="Calibri" w:eastAsia="Calibri" w:hAnsi="Calibri" w:cs="Times New Roman"/>
          <w:lang w:val="uk-UA"/>
        </w:rPr>
        <w:t>підприємництва та бізнесу</w:t>
      </w:r>
      <w:r w:rsidRPr="00927F81">
        <w:rPr>
          <w:rFonts w:ascii="Calibri" w:eastAsia="Calibri" w:hAnsi="Calibri" w:cs="Times New Roman"/>
          <w:lang w:val="uk-UA"/>
        </w:rPr>
        <w:t xml:space="preserve"> переліку</w:t>
      </w:r>
      <w:r w:rsidR="00931F91" w:rsidRPr="00927F81">
        <w:rPr>
          <w:rFonts w:ascii="Calibri" w:eastAsia="Calibri" w:hAnsi="Calibri" w:cs="Times New Roman"/>
          <w:lang w:val="uk-UA"/>
        </w:rPr>
        <w:t xml:space="preserve">. </w:t>
      </w:r>
    </w:p>
    <w:p w14:paraId="5C49E758" w14:textId="3A8A2F1A" w:rsidR="00690F45" w:rsidRPr="00927F81" w:rsidRDefault="00191723" w:rsidP="0013369A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val="uk-UA"/>
        </w:rPr>
      </w:pPr>
      <w:r w:rsidRPr="00927F81">
        <w:rPr>
          <w:rFonts w:ascii="Calibri" w:eastAsia="Calibri" w:hAnsi="Calibri" w:cs="Times New Roman"/>
          <w:lang w:val="uk-UA"/>
        </w:rPr>
        <w:t>80</w:t>
      </w:r>
      <w:r w:rsidR="007C5E4D" w:rsidRPr="00927F81">
        <w:rPr>
          <w:rFonts w:ascii="Calibri" w:eastAsia="Calibri" w:hAnsi="Calibri" w:cs="Times New Roman"/>
          <w:lang w:val="uk-UA"/>
        </w:rPr>
        <w:t xml:space="preserve"> % респондентів вважають, що ма</w:t>
      </w:r>
      <w:r w:rsidR="00754EAD" w:rsidRPr="00927F81">
        <w:rPr>
          <w:rFonts w:ascii="Calibri" w:eastAsia="Calibri" w:hAnsi="Calibri" w:cs="Times New Roman"/>
          <w:lang w:val="uk-UA"/>
        </w:rPr>
        <w:t>ли</w:t>
      </w:r>
      <w:r w:rsidR="007C5E4D" w:rsidRPr="00927F81">
        <w:rPr>
          <w:rFonts w:ascii="Calibri" w:eastAsia="Calibri" w:hAnsi="Calibri" w:cs="Times New Roman"/>
          <w:lang w:val="uk-UA"/>
        </w:rPr>
        <w:t xml:space="preserve"> достатній рівень теоретичної підготовки для успішного проходження практики; </w:t>
      </w:r>
      <w:r w:rsidRPr="00927F81">
        <w:rPr>
          <w:rFonts w:ascii="Calibri" w:eastAsia="Calibri" w:hAnsi="Calibri" w:cs="Times New Roman"/>
          <w:lang w:val="uk-UA"/>
        </w:rPr>
        <w:t>20</w:t>
      </w:r>
      <w:r w:rsidR="007C5E4D" w:rsidRPr="00927F81">
        <w:rPr>
          <w:rFonts w:ascii="Calibri" w:eastAsia="Calibri" w:hAnsi="Calibri" w:cs="Times New Roman"/>
          <w:lang w:val="uk-UA"/>
        </w:rPr>
        <w:t xml:space="preserve"> % – відмітили часткову відповідність власного рівня підготовки.</w:t>
      </w:r>
    </w:p>
    <w:p w14:paraId="07F9A766" w14:textId="776B9B31" w:rsidR="007C5E4D" w:rsidRPr="00927F81" w:rsidRDefault="00191723" w:rsidP="0013369A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val="uk-UA"/>
        </w:rPr>
      </w:pPr>
      <w:r w:rsidRPr="00927F81">
        <w:rPr>
          <w:rFonts w:ascii="Calibri" w:eastAsia="Calibri" w:hAnsi="Calibri" w:cs="Times New Roman"/>
          <w:lang w:val="uk-UA"/>
        </w:rPr>
        <w:t>90</w:t>
      </w:r>
      <w:r w:rsidR="007C5E4D" w:rsidRPr="00927F81">
        <w:rPr>
          <w:rFonts w:ascii="Calibri" w:eastAsia="Calibri" w:hAnsi="Calibri" w:cs="Times New Roman"/>
          <w:lang w:val="uk-UA"/>
        </w:rPr>
        <w:t xml:space="preserve"> % респондентів відмічає повну відповідність місця проходження практичної підготовки майбутньому фаху; </w:t>
      </w:r>
      <w:r w:rsidRPr="00927F81">
        <w:rPr>
          <w:rFonts w:ascii="Calibri" w:eastAsia="Calibri" w:hAnsi="Calibri" w:cs="Times New Roman"/>
          <w:lang w:val="uk-UA"/>
        </w:rPr>
        <w:t>10</w:t>
      </w:r>
      <w:r w:rsidR="007C5E4D" w:rsidRPr="00927F81">
        <w:rPr>
          <w:rFonts w:ascii="Calibri" w:eastAsia="Calibri" w:hAnsi="Calibri" w:cs="Times New Roman"/>
          <w:lang w:val="uk-UA"/>
        </w:rPr>
        <w:t xml:space="preserve"> % – вказали на часткову відповідність</w:t>
      </w:r>
      <w:r w:rsidRPr="00927F81">
        <w:rPr>
          <w:rFonts w:ascii="Calibri" w:eastAsia="Calibri" w:hAnsi="Calibri" w:cs="Times New Roman"/>
          <w:lang w:val="uk-UA"/>
        </w:rPr>
        <w:t xml:space="preserve">. </w:t>
      </w:r>
      <w:r w:rsidR="00D03018" w:rsidRPr="00927F81">
        <w:rPr>
          <w:rFonts w:ascii="Calibri" w:eastAsia="Calibri" w:hAnsi="Calibri" w:cs="Times New Roman"/>
          <w:lang w:val="uk-UA"/>
        </w:rPr>
        <w:t xml:space="preserve">Аналогічне співвідношення відповідей </w:t>
      </w:r>
      <w:r w:rsidR="00190B81" w:rsidRPr="00927F81">
        <w:rPr>
          <w:rFonts w:ascii="Calibri" w:eastAsia="Calibri" w:hAnsi="Calibri" w:cs="Times New Roman"/>
          <w:lang w:val="uk-UA"/>
        </w:rPr>
        <w:t>показало опитуванн</w:t>
      </w:r>
      <w:r w:rsidR="00754EAD" w:rsidRPr="00927F81">
        <w:rPr>
          <w:rFonts w:ascii="Calibri" w:eastAsia="Calibri" w:hAnsi="Calibri" w:cs="Times New Roman"/>
          <w:lang w:val="uk-UA"/>
        </w:rPr>
        <w:t xml:space="preserve">я </w:t>
      </w:r>
      <w:r w:rsidR="00190B81" w:rsidRPr="00927F81">
        <w:rPr>
          <w:rFonts w:ascii="Calibri" w:eastAsia="Calibri" w:hAnsi="Calibri" w:cs="Times New Roman"/>
          <w:lang w:val="uk-UA"/>
        </w:rPr>
        <w:t>респондентів щодо забезпечення належних умов для виконання програми практичної підготовки на місці проходження практики.</w:t>
      </w:r>
    </w:p>
    <w:p w14:paraId="5E076406" w14:textId="554F1833" w:rsidR="00191723" w:rsidRPr="00927F81" w:rsidRDefault="00191723" w:rsidP="0013369A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val="uk-UA"/>
        </w:rPr>
      </w:pPr>
      <w:r w:rsidRPr="00927F81">
        <w:rPr>
          <w:rFonts w:ascii="Calibri" w:eastAsia="Calibri" w:hAnsi="Calibri" w:cs="Times New Roman"/>
          <w:lang w:val="uk-UA"/>
        </w:rPr>
        <w:t>Про об’єктивне оцінювання результатів проходження практики вказали 100 % опитаних.</w:t>
      </w:r>
    </w:p>
    <w:p w14:paraId="4A055DC9" w14:textId="355275BC" w:rsidR="000B7A9E" w:rsidRPr="00927F81" w:rsidRDefault="00190B81" w:rsidP="0013369A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val="uk-UA"/>
        </w:rPr>
      </w:pPr>
      <w:r w:rsidRPr="00927F81">
        <w:rPr>
          <w:rFonts w:ascii="Calibri" w:eastAsia="Calibri" w:hAnsi="Calibri" w:cs="Times New Roman"/>
          <w:lang w:val="uk-UA"/>
        </w:rPr>
        <w:t>Про регулярні консультації ке</w:t>
      </w:r>
      <w:r w:rsidR="00191723" w:rsidRPr="00927F81">
        <w:rPr>
          <w:rFonts w:ascii="Calibri" w:eastAsia="Calibri" w:hAnsi="Calibri" w:cs="Times New Roman"/>
          <w:lang w:val="uk-UA"/>
        </w:rPr>
        <w:t>рівника практики зазначають 90</w:t>
      </w:r>
      <w:r w:rsidRPr="00927F81">
        <w:rPr>
          <w:rFonts w:ascii="Calibri" w:eastAsia="Calibri" w:hAnsi="Calibri" w:cs="Times New Roman"/>
          <w:lang w:val="uk-UA"/>
        </w:rPr>
        <w:t xml:space="preserve"> % респондентів, </w:t>
      </w:r>
      <w:r w:rsidR="00191723" w:rsidRPr="00927F81">
        <w:rPr>
          <w:rFonts w:ascii="Calibri" w:eastAsia="Calibri" w:hAnsi="Calibri" w:cs="Times New Roman"/>
          <w:lang w:val="uk-UA"/>
        </w:rPr>
        <w:t>10</w:t>
      </w:r>
      <w:r w:rsidRPr="00927F81">
        <w:rPr>
          <w:rFonts w:ascii="Calibri" w:eastAsia="Calibri" w:hAnsi="Calibri" w:cs="Times New Roman"/>
          <w:lang w:val="uk-UA"/>
        </w:rPr>
        <w:t xml:space="preserve"> % – вважають, що було проведено недостатньо консультацій</w:t>
      </w:r>
      <w:r w:rsidR="00191723" w:rsidRPr="00927F81">
        <w:rPr>
          <w:rFonts w:ascii="Calibri" w:eastAsia="Calibri" w:hAnsi="Calibri" w:cs="Times New Roman"/>
          <w:lang w:val="uk-UA"/>
        </w:rPr>
        <w:t>.</w:t>
      </w:r>
    </w:p>
    <w:p w14:paraId="45CAC822" w14:textId="710A8F3D" w:rsidR="000B7A9E" w:rsidRPr="00927F81" w:rsidRDefault="00191723" w:rsidP="0013369A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val="uk-UA"/>
        </w:rPr>
      </w:pPr>
      <w:r w:rsidRPr="00927F81">
        <w:rPr>
          <w:rFonts w:ascii="Calibri" w:eastAsia="Calibri" w:hAnsi="Calibri" w:cs="Times New Roman"/>
          <w:lang w:val="uk-UA"/>
        </w:rPr>
        <w:t>90</w:t>
      </w:r>
      <w:r w:rsidR="000B7A9E" w:rsidRPr="00927F81">
        <w:rPr>
          <w:rFonts w:ascii="Calibri" w:eastAsia="Calibri" w:hAnsi="Calibri" w:cs="Times New Roman"/>
          <w:lang w:val="uk-UA"/>
        </w:rPr>
        <w:t xml:space="preserve"> % респондентів вважає графік проведення практики дуже зручним, </w:t>
      </w:r>
      <w:r w:rsidRPr="00927F81">
        <w:rPr>
          <w:rFonts w:ascii="Calibri" w:eastAsia="Calibri" w:hAnsi="Calibri" w:cs="Times New Roman"/>
          <w:lang w:val="uk-UA"/>
        </w:rPr>
        <w:t>10 % – переважно зручним</w:t>
      </w:r>
      <w:r w:rsidR="000B7A9E" w:rsidRPr="00927F81">
        <w:rPr>
          <w:rFonts w:ascii="Calibri" w:eastAsia="Calibri" w:hAnsi="Calibri" w:cs="Times New Roman"/>
          <w:lang w:val="uk-UA"/>
        </w:rPr>
        <w:t>. Про незручність графіку проведення практики не висловився жоден з респондентів.</w:t>
      </w:r>
    </w:p>
    <w:p w14:paraId="633EDE19" w14:textId="60164019" w:rsidR="000B7A9E" w:rsidRPr="00927F81" w:rsidRDefault="00191723" w:rsidP="0013369A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val="uk-UA"/>
        </w:rPr>
      </w:pPr>
      <w:r w:rsidRPr="00927F81">
        <w:rPr>
          <w:rFonts w:ascii="Calibri" w:eastAsia="Calibri" w:hAnsi="Calibri" w:cs="Times New Roman"/>
          <w:lang w:val="uk-UA"/>
        </w:rPr>
        <w:t>50</w:t>
      </w:r>
      <w:r w:rsidR="000B7A9E" w:rsidRPr="00927F81">
        <w:rPr>
          <w:rFonts w:ascii="Calibri" w:eastAsia="Calibri" w:hAnsi="Calibri" w:cs="Times New Roman"/>
          <w:lang w:val="uk-UA"/>
        </w:rPr>
        <w:t xml:space="preserve"> % респондентів </w:t>
      </w:r>
      <w:r w:rsidR="00750A5A" w:rsidRPr="00927F81">
        <w:rPr>
          <w:rFonts w:ascii="Calibri" w:eastAsia="Calibri" w:hAnsi="Calibri" w:cs="Times New Roman"/>
          <w:lang w:val="uk-UA"/>
        </w:rPr>
        <w:t>переконалися у правильному виборі майбутньої професії</w:t>
      </w:r>
      <w:r w:rsidR="000B7A9E" w:rsidRPr="00927F81">
        <w:rPr>
          <w:rFonts w:ascii="Calibri" w:eastAsia="Calibri" w:hAnsi="Calibri" w:cs="Times New Roman"/>
          <w:lang w:val="uk-UA"/>
        </w:rPr>
        <w:t xml:space="preserve"> (рис. </w:t>
      </w:r>
      <w:r w:rsidR="00063342" w:rsidRPr="00927F81">
        <w:rPr>
          <w:rFonts w:ascii="Calibri" w:eastAsia="Calibri" w:hAnsi="Calibri" w:cs="Times New Roman"/>
          <w:lang w:val="uk-UA"/>
        </w:rPr>
        <w:t>3</w:t>
      </w:r>
      <w:r w:rsidR="000B7A9E" w:rsidRPr="00927F81">
        <w:rPr>
          <w:rFonts w:ascii="Calibri" w:eastAsia="Calibri" w:hAnsi="Calibri" w:cs="Times New Roman"/>
          <w:lang w:val="uk-UA"/>
        </w:rPr>
        <w:t>.</w:t>
      </w:r>
      <w:r w:rsidRPr="00927F81">
        <w:rPr>
          <w:rFonts w:ascii="Calibri" w:eastAsia="Calibri" w:hAnsi="Calibri" w:cs="Times New Roman"/>
          <w:lang w:val="uk-UA"/>
        </w:rPr>
        <w:t>1</w:t>
      </w:r>
      <w:r w:rsidR="000B7A9E" w:rsidRPr="00927F81">
        <w:rPr>
          <w:rFonts w:ascii="Calibri" w:eastAsia="Calibri" w:hAnsi="Calibri" w:cs="Times New Roman"/>
          <w:lang w:val="uk-UA"/>
        </w:rPr>
        <w:t xml:space="preserve">), </w:t>
      </w:r>
      <w:r w:rsidRPr="00927F81">
        <w:rPr>
          <w:rFonts w:ascii="Calibri" w:eastAsia="Calibri" w:hAnsi="Calibri" w:cs="Times New Roman"/>
          <w:lang w:val="uk-UA"/>
        </w:rPr>
        <w:t>30</w:t>
      </w:r>
      <w:r w:rsidR="000B7A9E" w:rsidRPr="00927F81">
        <w:rPr>
          <w:rFonts w:ascii="Calibri" w:eastAsia="Calibri" w:hAnsi="Calibri" w:cs="Times New Roman"/>
          <w:lang w:val="uk-UA"/>
        </w:rPr>
        <w:t xml:space="preserve"> % – </w:t>
      </w:r>
      <w:r w:rsidR="00750A5A" w:rsidRPr="00927F81">
        <w:rPr>
          <w:rFonts w:ascii="Calibri" w:eastAsia="Calibri" w:hAnsi="Calibri" w:cs="Times New Roman"/>
          <w:lang w:val="uk-UA"/>
        </w:rPr>
        <w:t>виявили прогалини у фаховій підготовці, на які необхідно звернути увагу</w:t>
      </w:r>
      <w:r w:rsidR="000B7A9E" w:rsidRPr="00927F81">
        <w:rPr>
          <w:rFonts w:ascii="Calibri" w:eastAsia="Calibri" w:hAnsi="Calibri" w:cs="Times New Roman"/>
          <w:lang w:val="uk-UA"/>
        </w:rPr>
        <w:t xml:space="preserve">; </w:t>
      </w:r>
      <w:r w:rsidRPr="00927F81">
        <w:rPr>
          <w:rFonts w:ascii="Calibri" w:eastAsia="Calibri" w:hAnsi="Calibri" w:cs="Times New Roman"/>
          <w:lang w:val="uk-UA"/>
        </w:rPr>
        <w:t>20</w:t>
      </w:r>
      <w:r w:rsidR="000B7A9E" w:rsidRPr="00927F81">
        <w:rPr>
          <w:rFonts w:ascii="Calibri" w:eastAsia="Calibri" w:hAnsi="Calibri" w:cs="Times New Roman"/>
          <w:lang w:val="uk-UA"/>
        </w:rPr>
        <w:t xml:space="preserve"> %  – </w:t>
      </w:r>
      <w:r w:rsidR="00750A5A" w:rsidRPr="00927F81">
        <w:rPr>
          <w:rFonts w:ascii="Calibri" w:eastAsia="Calibri" w:hAnsi="Calibri" w:cs="Times New Roman"/>
          <w:lang w:val="uk-UA"/>
        </w:rPr>
        <w:t>впевнилися щодо готовності працювати за фахом</w:t>
      </w:r>
      <w:r w:rsidR="000B7A9E" w:rsidRPr="00927F81">
        <w:rPr>
          <w:rFonts w:ascii="Calibri" w:eastAsia="Calibri" w:hAnsi="Calibri" w:cs="Times New Roman"/>
          <w:lang w:val="uk-UA"/>
        </w:rPr>
        <w:t xml:space="preserve">. </w:t>
      </w:r>
      <w:r w:rsidR="00750A5A" w:rsidRPr="00927F81">
        <w:rPr>
          <w:rFonts w:ascii="Calibri" w:eastAsia="Calibri" w:hAnsi="Calibri" w:cs="Times New Roman"/>
          <w:lang w:val="uk-UA"/>
        </w:rPr>
        <w:t>Ж</w:t>
      </w:r>
      <w:r w:rsidR="000B7A9E" w:rsidRPr="00927F81">
        <w:rPr>
          <w:rFonts w:ascii="Calibri" w:eastAsia="Calibri" w:hAnsi="Calibri" w:cs="Times New Roman"/>
          <w:lang w:val="uk-UA"/>
        </w:rPr>
        <w:t>оден з респондентів</w:t>
      </w:r>
      <w:r w:rsidR="00750A5A" w:rsidRPr="00927F81">
        <w:rPr>
          <w:rFonts w:ascii="Calibri" w:eastAsia="Calibri" w:hAnsi="Calibri" w:cs="Times New Roman"/>
          <w:lang w:val="uk-UA"/>
        </w:rPr>
        <w:t xml:space="preserve"> не висловив розчарування обраною професією після практики</w:t>
      </w:r>
      <w:r w:rsidR="000B7A9E" w:rsidRPr="00927F81">
        <w:rPr>
          <w:rFonts w:ascii="Calibri" w:eastAsia="Calibri" w:hAnsi="Calibri" w:cs="Times New Roman"/>
          <w:lang w:val="uk-UA"/>
        </w:rPr>
        <w:t>.</w:t>
      </w:r>
    </w:p>
    <w:p w14:paraId="2978E8EA" w14:textId="19E598E3" w:rsidR="000B7A9E" w:rsidRPr="00177CA1" w:rsidRDefault="00191723" w:rsidP="0013369A">
      <w:pPr>
        <w:spacing w:after="0" w:line="240" w:lineRule="auto"/>
        <w:jc w:val="center"/>
        <w:rPr>
          <w:highlight w:val="yellow"/>
          <w:lang w:val="uk-UA"/>
        </w:rPr>
      </w:pPr>
      <w:r w:rsidRPr="00177CA1">
        <w:rPr>
          <w:noProof/>
          <w:highlight w:val="yellow"/>
          <w:lang w:eastAsia="ru-RU"/>
        </w:rPr>
        <w:lastRenderedPageBreak/>
        <w:drawing>
          <wp:inline distT="0" distB="0" distL="0" distR="0" wp14:anchorId="05C97F89" wp14:editId="6EC3A4C8">
            <wp:extent cx="4484536" cy="1705321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805" cy="170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29ACA" w14:textId="038B1410" w:rsidR="000B7A9E" w:rsidRPr="00927F81" w:rsidRDefault="000B7A9E" w:rsidP="0013369A">
      <w:pPr>
        <w:spacing w:after="0" w:line="240" w:lineRule="auto"/>
        <w:ind w:firstLine="567"/>
        <w:jc w:val="center"/>
        <w:rPr>
          <w:lang w:val="uk-UA"/>
        </w:rPr>
      </w:pPr>
      <w:r w:rsidRPr="00927F81">
        <w:rPr>
          <w:lang w:val="uk-UA"/>
        </w:rPr>
        <w:t xml:space="preserve">Рисунок </w:t>
      </w:r>
      <w:r w:rsidR="00063342" w:rsidRPr="00927F81">
        <w:rPr>
          <w:lang w:val="uk-UA"/>
        </w:rPr>
        <w:t>3</w:t>
      </w:r>
      <w:r w:rsidRPr="00927F81">
        <w:rPr>
          <w:lang w:val="uk-UA"/>
        </w:rPr>
        <w:t>.</w:t>
      </w:r>
      <w:r w:rsidR="00191723" w:rsidRPr="00927F81">
        <w:rPr>
          <w:lang w:val="uk-UA"/>
        </w:rPr>
        <w:t>1</w:t>
      </w:r>
      <w:r w:rsidRPr="00927F81">
        <w:rPr>
          <w:lang w:val="uk-UA"/>
        </w:rPr>
        <w:t xml:space="preserve"> – </w:t>
      </w:r>
      <w:r w:rsidR="00191723" w:rsidRPr="00927F81">
        <w:rPr>
          <w:lang w:val="uk-UA"/>
        </w:rPr>
        <w:t>Оцінка підсумків практики</w:t>
      </w:r>
    </w:p>
    <w:p w14:paraId="57C53B59" w14:textId="77777777" w:rsidR="000B7A9E" w:rsidRPr="00177CA1" w:rsidRDefault="000B7A9E" w:rsidP="0013369A">
      <w:pPr>
        <w:spacing w:after="0" w:line="240" w:lineRule="auto"/>
        <w:ind w:firstLine="567"/>
        <w:jc w:val="both"/>
        <w:rPr>
          <w:highlight w:val="yellow"/>
          <w:lang w:val="uk-UA"/>
        </w:rPr>
      </w:pPr>
    </w:p>
    <w:p w14:paraId="7B068788" w14:textId="409EF10D" w:rsidR="00191723" w:rsidRPr="00927F81" w:rsidRDefault="00191723" w:rsidP="0013369A">
      <w:pPr>
        <w:spacing w:after="0" w:line="240" w:lineRule="auto"/>
        <w:ind w:firstLine="567"/>
        <w:jc w:val="both"/>
        <w:rPr>
          <w:lang w:val="uk-UA"/>
        </w:rPr>
      </w:pPr>
      <w:r w:rsidRPr="00927F81">
        <w:rPr>
          <w:lang w:val="uk-UA"/>
        </w:rPr>
        <w:t xml:space="preserve">100 % опитаних зазначили, що у заняттях брали участь професіонали-практики та роботодавці. </w:t>
      </w:r>
    </w:p>
    <w:p w14:paraId="1E8C27FC" w14:textId="448A6724" w:rsidR="000B7A9E" w:rsidRPr="00927F81" w:rsidRDefault="00185634" w:rsidP="0013369A">
      <w:pPr>
        <w:spacing w:after="0" w:line="240" w:lineRule="auto"/>
        <w:ind w:firstLine="567"/>
        <w:jc w:val="both"/>
        <w:rPr>
          <w:lang w:val="uk-UA"/>
        </w:rPr>
      </w:pPr>
      <w:r w:rsidRPr="00927F81">
        <w:rPr>
          <w:lang w:val="uk-UA"/>
        </w:rPr>
        <w:t>В цілому респонденти задоволені практичною підготовкою та вибором бази практики. Самоаналіз здобувачами власних знань і навичок у період проходження практики дає їм змогу зосередитися на навчанні та надолужити прогалини у власних знаннях.</w:t>
      </w:r>
    </w:p>
    <w:p w14:paraId="1A3D1195" w14:textId="77777777" w:rsidR="00690F45" w:rsidRPr="00177CA1" w:rsidRDefault="00690F45" w:rsidP="0013369A">
      <w:pPr>
        <w:spacing w:after="0" w:line="240" w:lineRule="auto"/>
        <w:ind w:firstLine="567"/>
        <w:jc w:val="both"/>
        <w:rPr>
          <w:b/>
          <w:highlight w:val="yellow"/>
          <w:lang w:val="uk-UA"/>
        </w:rPr>
      </w:pPr>
    </w:p>
    <w:p w14:paraId="782ACDFC" w14:textId="223240D4" w:rsidR="00985237" w:rsidRPr="00927F81" w:rsidRDefault="00063342" w:rsidP="00927F81">
      <w:pPr>
        <w:spacing w:after="0" w:line="240" w:lineRule="auto"/>
        <w:ind w:firstLine="567"/>
        <w:jc w:val="center"/>
        <w:rPr>
          <w:b/>
          <w:lang w:val="uk-UA"/>
        </w:rPr>
      </w:pPr>
      <w:r w:rsidRPr="00927F81">
        <w:rPr>
          <w:b/>
          <w:lang w:val="uk-UA"/>
        </w:rPr>
        <w:t>4</w:t>
      </w:r>
      <w:r w:rsidR="00985237" w:rsidRPr="00927F81">
        <w:rPr>
          <w:b/>
          <w:lang w:val="uk-UA"/>
        </w:rPr>
        <w:t>. Моніторинг результатів освітньо-професійної програми (анкетування стейкхолдерів)</w:t>
      </w:r>
    </w:p>
    <w:p w14:paraId="33D84936" w14:textId="515BA123" w:rsidR="00690F45" w:rsidRPr="00927F81" w:rsidRDefault="005A203D" w:rsidP="0013369A">
      <w:pPr>
        <w:spacing w:after="0" w:line="240" w:lineRule="auto"/>
        <w:ind w:firstLine="567"/>
        <w:jc w:val="both"/>
        <w:rPr>
          <w:lang w:val="uk-UA"/>
        </w:rPr>
      </w:pPr>
      <w:r w:rsidRPr="00927F81">
        <w:rPr>
          <w:lang w:val="uk-UA"/>
        </w:rPr>
        <w:t>У період з 16 по 2</w:t>
      </w:r>
      <w:r w:rsidR="00AB32D2" w:rsidRPr="00927F81">
        <w:rPr>
          <w:lang w:val="uk-UA"/>
        </w:rPr>
        <w:t>3</w:t>
      </w:r>
      <w:r w:rsidRPr="00927F81">
        <w:rPr>
          <w:lang w:val="uk-UA"/>
        </w:rPr>
        <w:t xml:space="preserve"> лютого</w:t>
      </w:r>
      <w:r w:rsidR="00D503DA" w:rsidRPr="00927F81">
        <w:rPr>
          <w:lang w:val="uk-UA"/>
        </w:rPr>
        <w:t xml:space="preserve"> </w:t>
      </w:r>
      <w:r w:rsidRPr="00927F81">
        <w:rPr>
          <w:lang w:val="uk-UA"/>
        </w:rPr>
        <w:t xml:space="preserve">2024 року опитано </w:t>
      </w:r>
      <w:r w:rsidR="006F5AE5" w:rsidRPr="00927F81">
        <w:rPr>
          <w:lang w:val="uk-UA"/>
        </w:rPr>
        <w:t>9</w:t>
      </w:r>
      <w:r w:rsidRPr="00927F81">
        <w:rPr>
          <w:lang w:val="uk-UA"/>
        </w:rPr>
        <w:t xml:space="preserve"> респондентів, які є стейкхолдерами ОПП «</w:t>
      </w:r>
      <w:r w:rsidR="00927F81" w:rsidRPr="00927F81">
        <w:rPr>
          <w:lang w:val="uk-UA"/>
        </w:rPr>
        <w:t>Інноваційнепідприємництво та управління Startup проєктами</w:t>
      </w:r>
      <w:r w:rsidRPr="00927F81">
        <w:rPr>
          <w:lang w:val="uk-UA"/>
        </w:rPr>
        <w:t>», і представляють академічну та промислову спільноти.</w:t>
      </w:r>
    </w:p>
    <w:p w14:paraId="736F3B03" w14:textId="47638B20" w:rsidR="005A203D" w:rsidRPr="00927F81" w:rsidRDefault="005A203D" w:rsidP="0013369A">
      <w:pPr>
        <w:spacing w:after="0" w:line="240" w:lineRule="auto"/>
        <w:ind w:firstLine="567"/>
        <w:jc w:val="both"/>
        <w:rPr>
          <w:lang w:val="uk-UA"/>
        </w:rPr>
      </w:pPr>
      <w:r w:rsidRPr="00927F81">
        <w:rPr>
          <w:lang w:val="uk-UA"/>
        </w:rPr>
        <w:t>Аналіз відповідей на питання відповідності знань випускників ОПП «</w:t>
      </w:r>
      <w:r w:rsidR="00927F81" w:rsidRPr="00927F81">
        <w:rPr>
          <w:lang w:val="uk-UA"/>
        </w:rPr>
        <w:t>Інноваційнепідприємництво та управління Startup проєктами</w:t>
      </w:r>
      <w:r w:rsidRPr="00927F81">
        <w:rPr>
          <w:lang w:val="uk-UA"/>
        </w:rPr>
        <w:t>» реальному стану виробництва</w:t>
      </w:r>
      <w:r w:rsidR="00284D95" w:rsidRPr="00927F81">
        <w:rPr>
          <w:lang w:val="uk-UA"/>
        </w:rPr>
        <w:t>, науки</w:t>
      </w:r>
      <w:r w:rsidRPr="00927F81">
        <w:rPr>
          <w:lang w:val="uk-UA"/>
        </w:rPr>
        <w:t xml:space="preserve"> та бізнесу показує, що </w:t>
      </w:r>
      <w:r w:rsidR="00284D95" w:rsidRPr="00927F81">
        <w:rPr>
          <w:lang w:val="uk-UA"/>
        </w:rPr>
        <w:t>8</w:t>
      </w:r>
      <w:r w:rsidRPr="00927F81">
        <w:rPr>
          <w:lang w:val="uk-UA"/>
        </w:rPr>
        <w:t xml:space="preserve"> опитаних вважають, що ві</w:t>
      </w:r>
      <w:r w:rsidR="00AB32D2" w:rsidRPr="00927F81">
        <w:rPr>
          <w:lang w:val="uk-UA"/>
        </w:rPr>
        <w:t xml:space="preserve">дповідають (рис. </w:t>
      </w:r>
      <w:r w:rsidR="00063342" w:rsidRPr="00927F81">
        <w:rPr>
          <w:lang w:val="uk-UA"/>
        </w:rPr>
        <w:t>4</w:t>
      </w:r>
      <w:r w:rsidR="00AB32D2" w:rsidRPr="00927F81">
        <w:rPr>
          <w:lang w:val="uk-UA"/>
        </w:rPr>
        <w:t xml:space="preserve">.1). При цьому </w:t>
      </w:r>
      <w:r w:rsidR="006F5AE5" w:rsidRPr="00927F81">
        <w:rPr>
          <w:lang w:val="uk-UA"/>
        </w:rPr>
        <w:t>55,6</w:t>
      </w:r>
      <w:r w:rsidR="00AB32D2" w:rsidRPr="00927F81">
        <w:rPr>
          <w:lang w:val="uk-UA"/>
        </w:rPr>
        <w:t xml:space="preserve"> % всіх опитаних впевнені у повній відповідності знань випускників програми сучасним вимогам ринку праці.</w:t>
      </w:r>
    </w:p>
    <w:p w14:paraId="5D0BA30B" w14:textId="51717754" w:rsidR="005A203D" w:rsidRPr="00177CA1" w:rsidRDefault="006F5AE5" w:rsidP="0013369A">
      <w:pPr>
        <w:spacing w:after="0" w:line="240" w:lineRule="auto"/>
        <w:jc w:val="center"/>
        <w:rPr>
          <w:highlight w:val="yellow"/>
          <w:lang w:val="uk-UA"/>
        </w:rPr>
      </w:pPr>
      <w:r w:rsidRPr="00177CA1">
        <w:rPr>
          <w:noProof/>
          <w:highlight w:val="yellow"/>
          <w:lang w:eastAsia="ru-RU"/>
        </w:rPr>
        <w:drawing>
          <wp:inline distT="0" distB="0" distL="0" distR="0" wp14:anchorId="41D82298" wp14:editId="104EE2B4">
            <wp:extent cx="4214191" cy="1901811"/>
            <wp:effectExtent l="0" t="0" r="0" b="381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320" cy="190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6AEB6" w14:textId="3C4DF7CD" w:rsidR="00AB32D2" w:rsidRPr="00927F81" w:rsidRDefault="00AB32D2" w:rsidP="0013369A">
      <w:pPr>
        <w:spacing w:after="0" w:line="240" w:lineRule="auto"/>
        <w:jc w:val="center"/>
        <w:rPr>
          <w:b/>
          <w:lang w:val="uk-UA"/>
        </w:rPr>
      </w:pPr>
      <w:r w:rsidRPr="00927F81">
        <w:rPr>
          <w:lang w:val="uk-UA"/>
        </w:rPr>
        <w:t xml:space="preserve">Рисунок </w:t>
      </w:r>
      <w:r w:rsidR="00063342" w:rsidRPr="00927F81">
        <w:rPr>
          <w:lang w:val="uk-UA"/>
        </w:rPr>
        <w:t>4</w:t>
      </w:r>
      <w:r w:rsidRPr="00927F81">
        <w:rPr>
          <w:lang w:val="uk-UA"/>
        </w:rPr>
        <w:t>.1</w:t>
      </w:r>
      <w:r w:rsidR="00287F41" w:rsidRPr="00927F81">
        <w:rPr>
          <w:lang w:val="uk-UA"/>
        </w:rPr>
        <w:t xml:space="preserve"> </w:t>
      </w:r>
      <w:r w:rsidRPr="00927F81">
        <w:rPr>
          <w:lang w:val="uk-UA"/>
        </w:rPr>
        <w:t xml:space="preserve">– Відповідність знань випускника ОПП сучасному стану </w:t>
      </w:r>
      <w:r w:rsidR="00927F81" w:rsidRPr="00927F81">
        <w:rPr>
          <w:lang w:val="uk-UA"/>
        </w:rPr>
        <w:t xml:space="preserve">бізнесу і </w:t>
      </w:r>
      <w:r w:rsidRPr="00927F81">
        <w:rPr>
          <w:lang w:val="uk-UA"/>
        </w:rPr>
        <w:t>виробництва</w:t>
      </w:r>
    </w:p>
    <w:p w14:paraId="0C792F85" w14:textId="77777777" w:rsidR="00AB32D2" w:rsidRPr="00177CA1" w:rsidRDefault="00AB32D2" w:rsidP="0013369A">
      <w:pPr>
        <w:spacing w:after="0" w:line="240" w:lineRule="auto"/>
        <w:ind w:firstLine="567"/>
        <w:jc w:val="both"/>
        <w:rPr>
          <w:highlight w:val="yellow"/>
          <w:lang w:val="uk-UA"/>
        </w:rPr>
      </w:pPr>
    </w:p>
    <w:p w14:paraId="2020CC06" w14:textId="63D1EE24" w:rsidR="00AB32D2" w:rsidRPr="00927F81" w:rsidRDefault="00AB32D2" w:rsidP="0013369A">
      <w:pPr>
        <w:spacing w:after="0" w:line="240" w:lineRule="auto"/>
        <w:ind w:firstLine="709"/>
        <w:jc w:val="both"/>
        <w:rPr>
          <w:lang w:val="uk-UA"/>
        </w:rPr>
      </w:pPr>
      <w:r w:rsidRPr="00927F81">
        <w:rPr>
          <w:lang w:val="uk-UA"/>
        </w:rPr>
        <w:t>Думки респондентів щодо найбільш важливих компетентностей випускника для роботи за фахом</w:t>
      </w:r>
      <w:r w:rsidR="004239A0" w:rsidRPr="00927F81">
        <w:rPr>
          <w:lang w:val="uk-UA"/>
        </w:rPr>
        <w:t xml:space="preserve"> </w:t>
      </w:r>
      <w:r w:rsidR="00284D95" w:rsidRPr="00927F81">
        <w:rPr>
          <w:lang w:val="uk-UA"/>
        </w:rPr>
        <w:t>сильно різняться</w:t>
      </w:r>
      <w:r w:rsidRPr="00927F81">
        <w:rPr>
          <w:lang w:val="uk-UA"/>
        </w:rPr>
        <w:t>.</w:t>
      </w:r>
    </w:p>
    <w:p w14:paraId="5F3973E1" w14:textId="0893E255" w:rsidR="004239A0" w:rsidRPr="00927F81" w:rsidRDefault="004239A0" w:rsidP="0013369A">
      <w:pPr>
        <w:spacing w:after="0" w:line="240" w:lineRule="auto"/>
        <w:ind w:firstLine="709"/>
        <w:jc w:val="both"/>
        <w:rPr>
          <w:rFonts w:cs="Times New Roman"/>
          <w:lang w:val="uk-UA"/>
        </w:rPr>
      </w:pPr>
      <w:r w:rsidRPr="00927F81">
        <w:rPr>
          <w:rFonts w:cs="Times New Roman"/>
          <w:lang w:val="uk-UA"/>
        </w:rPr>
        <w:t xml:space="preserve">Найбільш важливою компетентністю випускника для роботи за фахом опитані вважають </w:t>
      </w:r>
      <w:r w:rsidR="00284D95" w:rsidRPr="00927F81">
        <w:rPr>
          <w:rFonts w:cs="Times New Roman"/>
          <w:lang w:val="uk-UA"/>
        </w:rPr>
        <w:t>«</w:t>
      </w:r>
      <w:r w:rsidRPr="00927F81">
        <w:rPr>
          <w:rFonts w:cs="Times New Roman"/>
          <w:lang w:val="uk-UA"/>
        </w:rPr>
        <w:t>здатність застосовувати знання на практиці</w:t>
      </w:r>
      <w:r w:rsidR="00284D95" w:rsidRPr="00927F81">
        <w:rPr>
          <w:rFonts w:cs="Times New Roman"/>
          <w:lang w:val="uk-UA"/>
        </w:rPr>
        <w:t>»</w:t>
      </w:r>
      <w:r w:rsidRPr="00927F81">
        <w:rPr>
          <w:rFonts w:cs="Times New Roman"/>
          <w:lang w:val="uk-UA"/>
        </w:rPr>
        <w:t xml:space="preserve">, це відмітили </w:t>
      </w:r>
      <w:r w:rsidR="00007FC9" w:rsidRPr="00927F81">
        <w:rPr>
          <w:rFonts w:cs="Times New Roman"/>
          <w:lang w:val="uk-UA"/>
        </w:rPr>
        <w:t>7</w:t>
      </w:r>
      <w:r w:rsidRPr="00927F81">
        <w:rPr>
          <w:rFonts w:cs="Times New Roman"/>
          <w:lang w:val="uk-UA"/>
        </w:rPr>
        <w:t xml:space="preserve"> з </w:t>
      </w:r>
      <w:r w:rsidR="00007FC9" w:rsidRPr="00927F81">
        <w:rPr>
          <w:rFonts w:cs="Times New Roman"/>
          <w:lang w:val="uk-UA"/>
        </w:rPr>
        <w:t>9</w:t>
      </w:r>
      <w:r w:rsidRPr="00927F81">
        <w:rPr>
          <w:rFonts w:cs="Times New Roman"/>
          <w:lang w:val="uk-UA"/>
        </w:rPr>
        <w:t xml:space="preserve"> опитаних (</w:t>
      </w:r>
      <w:r w:rsidR="00007FC9" w:rsidRPr="00927F81">
        <w:rPr>
          <w:rFonts w:cs="Times New Roman"/>
          <w:lang w:val="uk-UA"/>
        </w:rPr>
        <w:t>77,8</w:t>
      </w:r>
      <w:r w:rsidRPr="00927F81">
        <w:rPr>
          <w:rFonts w:cs="Times New Roman"/>
          <w:lang w:val="uk-UA"/>
        </w:rPr>
        <w:t xml:space="preserve"> %)</w:t>
      </w:r>
      <w:r w:rsidR="00007FC9" w:rsidRPr="00927F81">
        <w:rPr>
          <w:rFonts w:cs="Times New Roman"/>
          <w:lang w:val="uk-UA"/>
        </w:rPr>
        <w:t>; 6 респонде</w:t>
      </w:r>
      <w:r w:rsidR="00284D95" w:rsidRPr="00927F81">
        <w:rPr>
          <w:rFonts w:cs="Times New Roman"/>
          <w:lang w:val="uk-UA"/>
        </w:rPr>
        <w:t>нтів (66,7 %) вважають основним</w:t>
      </w:r>
      <w:r w:rsidR="00007FC9" w:rsidRPr="00927F81">
        <w:rPr>
          <w:rFonts w:cs="Times New Roman"/>
          <w:lang w:val="uk-UA"/>
        </w:rPr>
        <w:t xml:space="preserve"> </w:t>
      </w:r>
      <w:r w:rsidR="00284D95" w:rsidRPr="00927F81">
        <w:rPr>
          <w:rFonts w:cs="Times New Roman"/>
          <w:lang w:val="uk-UA"/>
        </w:rPr>
        <w:t>«</w:t>
      </w:r>
      <w:r w:rsidR="00007FC9" w:rsidRPr="00927F81">
        <w:rPr>
          <w:rFonts w:cs="Times New Roman"/>
          <w:lang w:val="uk-UA"/>
        </w:rPr>
        <w:t>здатність до навчання</w:t>
      </w:r>
      <w:r w:rsidR="00284D95" w:rsidRPr="00927F81">
        <w:rPr>
          <w:rFonts w:cs="Times New Roman"/>
          <w:lang w:val="uk-UA"/>
        </w:rPr>
        <w:t>»</w:t>
      </w:r>
      <w:r w:rsidR="00007FC9" w:rsidRPr="00927F81">
        <w:rPr>
          <w:rFonts w:cs="Times New Roman"/>
          <w:lang w:val="uk-UA"/>
        </w:rPr>
        <w:t xml:space="preserve">, </w:t>
      </w:r>
      <w:r w:rsidR="00284D95" w:rsidRPr="00927F81">
        <w:rPr>
          <w:rFonts w:cs="Times New Roman"/>
          <w:lang w:val="uk-UA"/>
        </w:rPr>
        <w:t>«</w:t>
      </w:r>
      <w:r w:rsidR="00007FC9" w:rsidRPr="00927F81">
        <w:rPr>
          <w:rFonts w:cs="Times New Roman"/>
          <w:lang w:val="uk-UA"/>
        </w:rPr>
        <w:t>здатність до критики та самокритики</w:t>
      </w:r>
      <w:r w:rsidR="00284D95" w:rsidRPr="00927F81">
        <w:rPr>
          <w:rFonts w:cs="Times New Roman"/>
          <w:lang w:val="uk-UA"/>
        </w:rPr>
        <w:t>»</w:t>
      </w:r>
      <w:r w:rsidR="00007FC9" w:rsidRPr="00927F81">
        <w:rPr>
          <w:rFonts w:cs="Times New Roman"/>
          <w:lang w:val="uk-UA"/>
        </w:rPr>
        <w:t xml:space="preserve">, </w:t>
      </w:r>
      <w:r w:rsidR="00284D95" w:rsidRPr="00927F81">
        <w:rPr>
          <w:rFonts w:cs="Times New Roman"/>
          <w:lang w:val="uk-UA"/>
        </w:rPr>
        <w:t>«</w:t>
      </w:r>
      <w:r w:rsidR="00007FC9" w:rsidRPr="00927F81">
        <w:rPr>
          <w:rFonts w:cs="Times New Roman"/>
          <w:lang w:val="uk-UA"/>
        </w:rPr>
        <w:t>знання іноземної мови</w:t>
      </w:r>
      <w:r w:rsidR="00284D95" w:rsidRPr="00927F81">
        <w:rPr>
          <w:rFonts w:cs="Times New Roman"/>
          <w:lang w:val="uk-UA"/>
        </w:rPr>
        <w:t>»</w:t>
      </w:r>
      <w:r w:rsidR="00007FC9" w:rsidRPr="00927F81">
        <w:rPr>
          <w:rFonts w:cs="Times New Roman"/>
          <w:lang w:val="uk-UA"/>
        </w:rPr>
        <w:t>.</w:t>
      </w:r>
    </w:p>
    <w:p w14:paraId="517AA1AC" w14:textId="6C6F5058" w:rsidR="00BF4814" w:rsidRPr="00927F81" w:rsidRDefault="00BF4814" w:rsidP="0013369A">
      <w:pPr>
        <w:spacing w:after="0" w:line="240" w:lineRule="auto"/>
        <w:ind w:firstLine="709"/>
        <w:jc w:val="both"/>
        <w:rPr>
          <w:rFonts w:cs="Times New Roman"/>
          <w:lang w:val="uk-UA"/>
        </w:rPr>
      </w:pPr>
      <w:r w:rsidRPr="00927F81">
        <w:rPr>
          <w:rFonts w:cs="Times New Roman"/>
          <w:lang w:val="uk-UA"/>
        </w:rPr>
        <w:t>Найбільш необхідною складовою ОПП стейкхолдер</w:t>
      </w:r>
      <w:r w:rsidR="00287F41" w:rsidRPr="00927F81">
        <w:rPr>
          <w:rFonts w:cs="Times New Roman"/>
          <w:lang w:val="uk-UA"/>
        </w:rPr>
        <w:t>и вважають</w:t>
      </w:r>
      <w:r w:rsidRPr="00927F81">
        <w:rPr>
          <w:rFonts w:cs="Times New Roman"/>
          <w:lang w:val="uk-UA"/>
        </w:rPr>
        <w:t xml:space="preserve"> співвідношення теоретичної та практичної части</w:t>
      </w:r>
      <w:r w:rsidR="00E061F8" w:rsidRPr="00927F81">
        <w:rPr>
          <w:rFonts w:cs="Times New Roman"/>
          <w:lang w:val="uk-UA"/>
        </w:rPr>
        <w:t>н</w:t>
      </w:r>
      <w:r w:rsidRPr="00927F81">
        <w:rPr>
          <w:rFonts w:cs="Times New Roman"/>
          <w:lang w:val="uk-UA"/>
        </w:rPr>
        <w:t>и освітньої програми</w:t>
      </w:r>
      <w:r w:rsidR="00284D95" w:rsidRPr="00927F81">
        <w:rPr>
          <w:rFonts w:cs="Times New Roman"/>
          <w:lang w:val="uk-UA"/>
        </w:rPr>
        <w:t>. На це вказали</w:t>
      </w:r>
      <w:r w:rsidRPr="00927F81">
        <w:rPr>
          <w:rFonts w:cs="Times New Roman"/>
          <w:lang w:val="uk-UA"/>
        </w:rPr>
        <w:t xml:space="preserve"> </w:t>
      </w:r>
      <w:r w:rsidR="0003468F" w:rsidRPr="00927F81">
        <w:rPr>
          <w:rFonts w:cs="Times New Roman"/>
          <w:lang w:val="uk-UA"/>
        </w:rPr>
        <w:t>77,8</w:t>
      </w:r>
      <w:r w:rsidR="00284D95" w:rsidRPr="00927F81">
        <w:rPr>
          <w:rFonts w:cs="Times New Roman"/>
          <w:lang w:val="uk-UA"/>
        </w:rPr>
        <w:t xml:space="preserve"> % респондентів</w:t>
      </w:r>
      <w:r w:rsidR="00287F41" w:rsidRPr="00927F81">
        <w:rPr>
          <w:rFonts w:cs="Times New Roman"/>
          <w:lang w:val="uk-UA"/>
        </w:rPr>
        <w:t xml:space="preserve">. </w:t>
      </w:r>
      <w:r w:rsidR="0003468F" w:rsidRPr="00927F81">
        <w:rPr>
          <w:rFonts w:cs="Times New Roman"/>
          <w:lang w:val="uk-UA"/>
        </w:rPr>
        <w:t>66,7</w:t>
      </w:r>
      <w:r w:rsidR="0021474D" w:rsidRPr="00927F81">
        <w:rPr>
          <w:rFonts w:cs="Times New Roman"/>
          <w:lang w:val="uk-UA"/>
        </w:rPr>
        <w:t xml:space="preserve"> % опитаних вважають корисним залучення студентів до наукової роботи, участі у конференціях тощо. </w:t>
      </w:r>
      <w:r w:rsidR="00287F41" w:rsidRPr="00927F81">
        <w:rPr>
          <w:rFonts w:cs="Times New Roman"/>
          <w:lang w:val="uk-UA"/>
        </w:rPr>
        <w:t xml:space="preserve">А обґрунтованість навантаження на студентів (кількість дисциплін на семестр, кількість годин на тиждень аудиторної і самостійної роботи важливим вважає лише </w:t>
      </w:r>
      <w:r w:rsidR="0003468F" w:rsidRPr="00927F81">
        <w:rPr>
          <w:rFonts w:cs="Times New Roman"/>
          <w:lang w:val="uk-UA"/>
        </w:rPr>
        <w:t>2</w:t>
      </w:r>
      <w:r w:rsidR="00287F41" w:rsidRPr="00927F81">
        <w:rPr>
          <w:rFonts w:cs="Times New Roman"/>
          <w:lang w:val="uk-UA"/>
        </w:rPr>
        <w:t xml:space="preserve"> респондент</w:t>
      </w:r>
      <w:r w:rsidR="00284D95" w:rsidRPr="00927F81">
        <w:rPr>
          <w:rFonts w:cs="Times New Roman"/>
          <w:lang w:val="uk-UA"/>
        </w:rPr>
        <w:t>и</w:t>
      </w:r>
      <w:r w:rsidR="00287F41" w:rsidRPr="00927F81">
        <w:rPr>
          <w:rFonts w:cs="Times New Roman"/>
          <w:lang w:val="uk-UA"/>
        </w:rPr>
        <w:t xml:space="preserve"> </w:t>
      </w:r>
      <w:r w:rsidRPr="00927F81">
        <w:rPr>
          <w:rFonts w:cs="Times New Roman"/>
          <w:lang w:val="uk-UA"/>
        </w:rPr>
        <w:t xml:space="preserve">(рис. </w:t>
      </w:r>
      <w:r w:rsidR="00063342" w:rsidRPr="00927F81">
        <w:rPr>
          <w:rFonts w:cs="Times New Roman"/>
          <w:lang w:val="uk-UA"/>
        </w:rPr>
        <w:t>4</w:t>
      </w:r>
      <w:r w:rsidRPr="00927F81">
        <w:rPr>
          <w:rFonts w:cs="Times New Roman"/>
          <w:lang w:val="uk-UA"/>
        </w:rPr>
        <w:t>.2).</w:t>
      </w:r>
    </w:p>
    <w:p w14:paraId="6CF5AD25" w14:textId="17725051" w:rsidR="00B15C0C" w:rsidRPr="00927F81" w:rsidRDefault="00007FC9" w:rsidP="0013369A">
      <w:pPr>
        <w:spacing w:after="0" w:line="240" w:lineRule="auto"/>
        <w:jc w:val="center"/>
        <w:rPr>
          <w:rFonts w:cs="Times New Roman"/>
          <w:lang w:val="uk-UA"/>
        </w:rPr>
      </w:pPr>
      <w:r w:rsidRPr="00927F81">
        <w:rPr>
          <w:rFonts w:cs="Times New Roman"/>
          <w:noProof/>
          <w:lang w:eastAsia="ru-RU"/>
        </w:rPr>
        <w:lastRenderedPageBreak/>
        <w:drawing>
          <wp:inline distT="0" distB="0" distL="0" distR="0" wp14:anchorId="7FF14EFD" wp14:editId="15475FA5">
            <wp:extent cx="3991555" cy="1792718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848" cy="179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7EA47" w14:textId="5422F951" w:rsidR="00287F41" w:rsidRPr="00927F81" w:rsidRDefault="00287F41" w:rsidP="0013369A">
      <w:pPr>
        <w:spacing w:after="0" w:line="240" w:lineRule="auto"/>
        <w:jc w:val="center"/>
        <w:rPr>
          <w:b/>
          <w:lang w:val="uk-UA"/>
        </w:rPr>
      </w:pPr>
      <w:r w:rsidRPr="00927F81">
        <w:rPr>
          <w:lang w:val="uk-UA"/>
        </w:rPr>
        <w:t xml:space="preserve">Рисунок </w:t>
      </w:r>
      <w:r w:rsidR="00063342" w:rsidRPr="00927F81">
        <w:rPr>
          <w:lang w:val="uk-UA"/>
        </w:rPr>
        <w:t>4</w:t>
      </w:r>
      <w:r w:rsidRPr="00927F81">
        <w:rPr>
          <w:lang w:val="uk-UA"/>
        </w:rPr>
        <w:t xml:space="preserve">.2 – </w:t>
      </w:r>
      <w:r w:rsidR="0021474D" w:rsidRPr="00927F81">
        <w:rPr>
          <w:lang w:val="uk-UA"/>
        </w:rPr>
        <w:t>Найбільш важливі складові освітньої програми</w:t>
      </w:r>
    </w:p>
    <w:p w14:paraId="53538F71" w14:textId="77777777" w:rsidR="00287F41" w:rsidRPr="00927F81" w:rsidRDefault="00287F41" w:rsidP="0013369A">
      <w:pPr>
        <w:spacing w:after="0" w:line="240" w:lineRule="auto"/>
        <w:ind w:firstLine="709"/>
        <w:jc w:val="both"/>
        <w:rPr>
          <w:rFonts w:cs="Times New Roman"/>
          <w:lang w:val="uk-UA"/>
        </w:rPr>
      </w:pPr>
    </w:p>
    <w:p w14:paraId="620175CC" w14:textId="77777777" w:rsidR="004239A0" w:rsidRPr="00927F81" w:rsidRDefault="004239A0" w:rsidP="0013369A">
      <w:pPr>
        <w:spacing w:after="0" w:line="240" w:lineRule="auto"/>
        <w:ind w:firstLine="709"/>
        <w:jc w:val="both"/>
        <w:rPr>
          <w:rFonts w:cs="Times New Roman"/>
          <w:lang w:val="uk-UA"/>
        </w:rPr>
      </w:pPr>
    </w:p>
    <w:p w14:paraId="6D10EB13" w14:textId="21FFD530" w:rsidR="004239A0" w:rsidRPr="00927F81" w:rsidRDefault="0021474D" w:rsidP="0013369A">
      <w:pPr>
        <w:spacing w:after="0" w:line="240" w:lineRule="auto"/>
        <w:ind w:firstLine="709"/>
        <w:jc w:val="both"/>
        <w:rPr>
          <w:rFonts w:cs="Times New Roman"/>
          <w:lang w:val="uk-UA"/>
        </w:rPr>
      </w:pPr>
      <w:r w:rsidRPr="00927F81">
        <w:rPr>
          <w:rFonts w:cs="Times New Roman"/>
          <w:lang w:val="uk-UA"/>
        </w:rPr>
        <w:t>Переважна кількість опитаних (</w:t>
      </w:r>
      <w:r w:rsidR="00284D95" w:rsidRPr="00927F81">
        <w:rPr>
          <w:rFonts w:cs="Times New Roman"/>
          <w:lang w:val="uk-UA"/>
        </w:rPr>
        <w:t>77</w:t>
      </w:r>
      <w:r w:rsidRPr="00927F81">
        <w:rPr>
          <w:rFonts w:cs="Times New Roman"/>
          <w:lang w:val="uk-UA"/>
        </w:rPr>
        <w:t>,8 %) вважає</w:t>
      </w:r>
      <w:r w:rsidR="004239A0" w:rsidRPr="00927F81">
        <w:rPr>
          <w:rFonts w:cs="Times New Roman"/>
          <w:lang w:val="uk-UA"/>
        </w:rPr>
        <w:t>, що випускникам ОП</w:t>
      </w:r>
      <w:r w:rsidRPr="00927F81">
        <w:rPr>
          <w:rFonts w:cs="Times New Roman"/>
          <w:lang w:val="uk-UA"/>
        </w:rPr>
        <w:t>П «</w:t>
      </w:r>
      <w:r w:rsidR="00927F81" w:rsidRPr="00927F81">
        <w:rPr>
          <w:lang w:val="uk-UA"/>
        </w:rPr>
        <w:t>Інноваційнепідприємництво та управління Startup проєктами</w:t>
      </w:r>
      <w:r w:rsidRPr="00927F81">
        <w:rPr>
          <w:rFonts w:cs="Times New Roman"/>
          <w:lang w:val="uk-UA"/>
        </w:rPr>
        <w:t>»</w:t>
      </w:r>
      <w:r w:rsidR="004239A0" w:rsidRPr="00927F81">
        <w:rPr>
          <w:rFonts w:cs="Times New Roman"/>
          <w:lang w:val="uk-UA"/>
        </w:rPr>
        <w:t xml:space="preserve"> вистачає всіх компетентностей</w:t>
      </w:r>
      <w:r w:rsidRPr="00927F81">
        <w:rPr>
          <w:rFonts w:cs="Times New Roman"/>
          <w:lang w:val="uk-UA"/>
        </w:rPr>
        <w:t xml:space="preserve"> (рис. </w:t>
      </w:r>
      <w:r w:rsidR="00063342" w:rsidRPr="00927F81">
        <w:rPr>
          <w:rFonts w:cs="Times New Roman"/>
          <w:lang w:val="uk-UA"/>
        </w:rPr>
        <w:t>4</w:t>
      </w:r>
      <w:r w:rsidRPr="00927F81">
        <w:rPr>
          <w:rFonts w:cs="Times New Roman"/>
          <w:lang w:val="uk-UA"/>
        </w:rPr>
        <w:t>.3)</w:t>
      </w:r>
      <w:r w:rsidR="004239A0" w:rsidRPr="00927F81">
        <w:rPr>
          <w:rFonts w:cs="Times New Roman"/>
          <w:lang w:val="uk-UA"/>
        </w:rPr>
        <w:t>.</w:t>
      </w:r>
    </w:p>
    <w:p w14:paraId="0A4C4844" w14:textId="77777777" w:rsidR="00AB32D2" w:rsidRPr="00927F81" w:rsidRDefault="00AB32D2" w:rsidP="0013369A">
      <w:pPr>
        <w:spacing w:after="0" w:line="240" w:lineRule="auto"/>
        <w:ind w:firstLine="567"/>
        <w:jc w:val="both"/>
        <w:rPr>
          <w:lang w:val="uk-UA"/>
        </w:rPr>
      </w:pPr>
    </w:p>
    <w:p w14:paraId="2D5C59EC" w14:textId="62089112" w:rsidR="00AB32D2" w:rsidRPr="00177CA1" w:rsidRDefault="0003468F" w:rsidP="0013369A">
      <w:pPr>
        <w:spacing w:after="0" w:line="240" w:lineRule="auto"/>
        <w:jc w:val="center"/>
        <w:rPr>
          <w:highlight w:val="yellow"/>
          <w:lang w:val="uk-UA"/>
        </w:rPr>
      </w:pPr>
      <w:r w:rsidRPr="00177CA1">
        <w:rPr>
          <w:noProof/>
          <w:highlight w:val="yellow"/>
          <w:lang w:eastAsia="ru-RU"/>
        </w:rPr>
        <w:drawing>
          <wp:inline distT="0" distB="0" distL="0" distR="0" wp14:anchorId="57B2BF9E" wp14:editId="598ED105">
            <wp:extent cx="3737037" cy="1720718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216" cy="172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F28DA" w14:textId="634CA913" w:rsidR="00AB32D2" w:rsidRPr="00927F81" w:rsidRDefault="0021474D" w:rsidP="0013369A">
      <w:pPr>
        <w:spacing w:after="0" w:line="240" w:lineRule="auto"/>
        <w:jc w:val="center"/>
        <w:rPr>
          <w:lang w:val="uk-UA"/>
        </w:rPr>
      </w:pPr>
      <w:r w:rsidRPr="00927F81">
        <w:rPr>
          <w:lang w:val="uk-UA"/>
        </w:rPr>
        <w:t xml:space="preserve">Рисунок </w:t>
      </w:r>
      <w:r w:rsidR="00063342" w:rsidRPr="00927F81">
        <w:rPr>
          <w:lang w:val="uk-UA"/>
        </w:rPr>
        <w:t>4</w:t>
      </w:r>
      <w:r w:rsidRPr="00927F81">
        <w:rPr>
          <w:lang w:val="uk-UA"/>
        </w:rPr>
        <w:t>.3 – Набуті випускниками ОПП «</w:t>
      </w:r>
      <w:r w:rsidR="00927F81" w:rsidRPr="00927F81">
        <w:rPr>
          <w:lang w:val="uk-UA"/>
        </w:rPr>
        <w:t>Інноваційнепідприємництво та управління Startup проєктами</w:t>
      </w:r>
      <w:r w:rsidRPr="00927F81">
        <w:rPr>
          <w:lang w:val="uk-UA"/>
        </w:rPr>
        <w:t xml:space="preserve">» компетентності </w:t>
      </w:r>
    </w:p>
    <w:p w14:paraId="78A94B2A" w14:textId="77777777" w:rsidR="008809B4" w:rsidRPr="00177CA1" w:rsidRDefault="008809B4" w:rsidP="0013369A">
      <w:pPr>
        <w:spacing w:after="0" w:line="240" w:lineRule="auto"/>
        <w:ind w:firstLine="567"/>
        <w:jc w:val="both"/>
        <w:rPr>
          <w:highlight w:val="yellow"/>
          <w:lang w:val="uk-UA"/>
        </w:rPr>
      </w:pPr>
    </w:p>
    <w:p w14:paraId="0C6F7F4F" w14:textId="56F58CCC" w:rsidR="00985237" w:rsidRPr="00927F81" w:rsidRDefault="00063342" w:rsidP="00927F81">
      <w:pPr>
        <w:spacing w:after="0" w:line="240" w:lineRule="auto"/>
        <w:ind w:firstLine="567"/>
        <w:jc w:val="center"/>
        <w:rPr>
          <w:b/>
          <w:lang w:val="uk-UA"/>
        </w:rPr>
      </w:pPr>
      <w:r w:rsidRPr="00927F81">
        <w:rPr>
          <w:b/>
          <w:lang w:val="uk-UA"/>
        </w:rPr>
        <w:t>5</w:t>
      </w:r>
      <w:r w:rsidR="00985237" w:rsidRPr="00927F81">
        <w:rPr>
          <w:b/>
          <w:lang w:val="uk-UA"/>
        </w:rPr>
        <w:t>. Моніто</w:t>
      </w:r>
      <w:r w:rsidR="008146AA" w:rsidRPr="00927F81">
        <w:rPr>
          <w:b/>
          <w:lang w:val="uk-UA"/>
        </w:rPr>
        <w:t>ринг процесу вивчення дисциплін</w:t>
      </w:r>
      <w:r w:rsidR="00985237" w:rsidRPr="00927F81">
        <w:rPr>
          <w:b/>
          <w:lang w:val="uk-UA"/>
        </w:rPr>
        <w:t xml:space="preserve"> (анкетування здобувачів вищої освіти)</w:t>
      </w:r>
    </w:p>
    <w:p w14:paraId="00DDD710" w14:textId="0C11942E" w:rsidR="00C749D7" w:rsidRPr="00927F81" w:rsidRDefault="00C749D7" w:rsidP="0013369A">
      <w:pPr>
        <w:spacing w:after="0" w:line="240" w:lineRule="auto"/>
        <w:ind w:firstLine="567"/>
        <w:jc w:val="both"/>
        <w:rPr>
          <w:lang w:val="uk-UA"/>
        </w:rPr>
      </w:pPr>
      <w:r w:rsidRPr="00927F81">
        <w:rPr>
          <w:lang w:val="uk-UA"/>
        </w:rPr>
        <w:t xml:space="preserve">Метою моніторингу було вивчення рівня задоволеності здобувачів </w:t>
      </w:r>
      <w:r w:rsidR="00E43D86" w:rsidRPr="00927F81">
        <w:rPr>
          <w:lang w:val="uk-UA"/>
        </w:rPr>
        <w:t>другого</w:t>
      </w:r>
      <w:r w:rsidRPr="00927F81">
        <w:rPr>
          <w:lang w:val="uk-UA"/>
        </w:rPr>
        <w:t xml:space="preserve"> (</w:t>
      </w:r>
      <w:r w:rsidR="00E43D86" w:rsidRPr="00927F81">
        <w:rPr>
          <w:lang w:val="uk-UA"/>
        </w:rPr>
        <w:t>магістерського</w:t>
      </w:r>
      <w:r w:rsidRPr="00927F81">
        <w:rPr>
          <w:lang w:val="uk-UA"/>
        </w:rPr>
        <w:t xml:space="preserve">) рівня вищої світи, щодо функціонування механізмів організації навчального процесу, викладацької діяльності освітніх компонент, умов реалізації освітньої діяльності, зацікавленості здобувачів вищої освіти освітніми компонентами, з метою усунення недоліків і надання дієвої допомоги усім учасникам освітнього процесу. </w:t>
      </w:r>
    </w:p>
    <w:p w14:paraId="13A00BEA" w14:textId="69233B51" w:rsidR="00C749D7" w:rsidRDefault="00C749D7" w:rsidP="0013369A">
      <w:pPr>
        <w:spacing w:after="0" w:line="240" w:lineRule="auto"/>
        <w:ind w:firstLine="567"/>
        <w:jc w:val="both"/>
        <w:rPr>
          <w:lang w:val="uk-UA"/>
        </w:rPr>
      </w:pPr>
      <w:r w:rsidRPr="00927F81">
        <w:rPr>
          <w:lang w:val="uk-UA"/>
        </w:rPr>
        <w:t>Для отримання даних було використано анкетування студентів 1</w:t>
      </w:r>
      <w:r w:rsidR="0003468F" w:rsidRPr="00927F81">
        <w:rPr>
          <w:lang w:val="uk-UA"/>
        </w:rPr>
        <w:t xml:space="preserve"> </w:t>
      </w:r>
      <w:r w:rsidRPr="00927F81">
        <w:rPr>
          <w:lang w:val="uk-UA"/>
        </w:rPr>
        <w:t>курс</w:t>
      </w:r>
      <w:r w:rsidR="0003468F" w:rsidRPr="00927F81">
        <w:rPr>
          <w:lang w:val="uk-UA"/>
        </w:rPr>
        <w:t>у магістратури</w:t>
      </w:r>
      <w:r w:rsidRPr="00927F81">
        <w:rPr>
          <w:lang w:val="uk-UA"/>
        </w:rPr>
        <w:t xml:space="preserve">. </w:t>
      </w:r>
    </w:p>
    <w:p w14:paraId="0832CE53" w14:textId="77777777" w:rsidR="00F5277E" w:rsidRPr="00927F81" w:rsidRDefault="00F5277E" w:rsidP="0013369A">
      <w:pPr>
        <w:spacing w:after="0" w:line="240" w:lineRule="auto"/>
        <w:ind w:firstLine="567"/>
        <w:jc w:val="both"/>
        <w:rPr>
          <w:lang w:val="uk-UA"/>
        </w:rPr>
      </w:pPr>
    </w:p>
    <w:tbl>
      <w:tblPr>
        <w:tblW w:w="206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1"/>
        <w:gridCol w:w="1964"/>
        <w:gridCol w:w="851"/>
        <w:gridCol w:w="567"/>
        <w:gridCol w:w="708"/>
        <w:gridCol w:w="709"/>
        <w:gridCol w:w="851"/>
        <w:gridCol w:w="141"/>
        <w:gridCol w:w="219"/>
        <w:gridCol w:w="348"/>
        <w:gridCol w:w="709"/>
        <w:gridCol w:w="709"/>
        <w:gridCol w:w="709"/>
        <w:gridCol w:w="567"/>
        <w:gridCol w:w="708"/>
        <w:gridCol w:w="709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F5277E" w:rsidRPr="00F5277E" w14:paraId="5352939D" w14:textId="77777777" w:rsidTr="00F5277E">
        <w:trPr>
          <w:trHeight w:val="315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6AD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Освітня компонента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"Бізнес-дизайн та управління стартапами"</w:t>
            </w:r>
          </w:p>
        </w:tc>
      </w:tr>
      <w:tr w:rsidR="00F5277E" w:rsidRPr="00F5277E" w14:paraId="780E69A9" w14:textId="77777777" w:rsidTr="00F5277E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D703" w14:textId="77777777" w:rsidR="00F5277E" w:rsidRPr="00F5277E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 питань 1 з 4 "Залиште відгук про організацію навчання з освітньої компоненти</w:t>
            </w:r>
          </w:p>
          <w:p w14:paraId="6F4653E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"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ізнес-дизайн та управління стартапами"</w:t>
            </w:r>
          </w:p>
        </w:tc>
      </w:tr>
      <w:tr w:rsidR="00F5277E" w:rsidRPr="00F5277E" w14:paraId="37CD1809" w14:textId="77777777" w:rsidTr="00F5277E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86C0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46D0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15E8943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168BE66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10134CD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F76E5BC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1F584826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18D48E0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2D59938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607DC54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5407600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39FC082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23DBA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6D5D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BD8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58A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0D9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0F6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C40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3A6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15D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42A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E17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ACD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0A4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448029F7" w14:textId="77777777" w:rsidTr="00F5277E">
        <w:trPr>
          <w:trHeight w:val="9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FE27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D1B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забезпечує розклад достатню регулярність проведення лекційних занять та виконання самостійної роботи?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A406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6ABD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AC52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91FB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16C3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16C8C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E064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3E6A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5519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8DAEA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3058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88AB9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C44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E4C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872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9DD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234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BF5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AD2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1DB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BA1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ACF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6AC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29B54411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6CD5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1A1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достатні раніше набуті знання для розуміння тем (модулів), що викладаються в рамках дисципліни?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2ABC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435A6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B0B0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2F0B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8BEB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A764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9952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B0A6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BBF9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26624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53BD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54288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215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E5F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D76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27E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57F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FF3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C24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4F0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A2D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45F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730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121FC37F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0F63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DAF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відповідає обсяг навчального навантаження з </w:t>
            </w: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дисципліни кредитам, що присвоюються?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93647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41CC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01C97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585B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8053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DD8B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0B3DC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0D9A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B00F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0ABAA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691D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5D354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F86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A52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3D7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64A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899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77E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405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33A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8D9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AFF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F1E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5DC6F8C8" w14:textId="77777777" w:rsidTr="00F5277E">
        <w:trPr>
          <w:trHeight w:val="9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BA8CA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3C6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є матеріал, представлений в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ідручниках та інших навчальних посібниках, достатнім для дослідження і вивчення дисципліни?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602C7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57CA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D311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158A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3174C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19887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5255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5900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45E0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8EC6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29A9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164E7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C7C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4A0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D5F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2BA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1F8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359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C61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D54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7B9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A97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209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7FB034A9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2F104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F08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чітко визначені форми, умови, методи проведення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ідсумкового контролю?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D6A1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B49BA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80A8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9ED5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1E17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27B8C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A9F5A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FEBF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CBD14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E4C6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68424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85B60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6D4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433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699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091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854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F16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B28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515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32D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8A2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7D9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25780968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237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7D0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E46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930C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F36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5BAF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468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8FD8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336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B968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8D1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A20A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4F0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4B1C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639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596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354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16E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6C4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7BA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187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D37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541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4BC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A45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0F128393" w14:textId="77777777" w:rsidTr="00F5277E">
        <w:trPr>
          <w:trHeight w:val="315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A62A" w14:textId="77777777" w:rsidR="00F5277E" w:rsidRPr="00F5277E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Висновок про організацію навчання з освітній компоненти "Бізнес-дизайн та управління стартапами":</w:t>
            </w:r>
          </w:p>
          <w:p w14:paraId="6BAC4264" w14:textId="77777777" w:rsidR="00F5277E" w:rsidRPr="00F5277E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в аналізованій таблиці середнє значення задоволеності здобувачів вищої освіти дорівнює 71,7 %, </w:t>
            </w:r>
          </w:p>
          <w:p w14:paraId="4A7BEBD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що є позитивним результатом.</w:t>
            </w:r>
          </w:p>
        </w:tc>
      </w:tr>
      <w:tr w:rsidR="00F5277E" w:rsidRPr="00F5277E" w14:paraId="5DAA7F42" w14:textId="77777777" w:rsidTr="00F5277E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5F4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Освітня компонента "Бізнес-дизайн та управління стартапами"</w:t>
            </w:r>
          </w:p>
        </w:tc>
      </w:tr>
      <w:tr w:rsidR="00F5277E" w:rsidRPr="00F5277E" w14:paraId="027BB14B" w14:textId="77777777" w:rsidTr="00F5277E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FDF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 питань 2 з 4 "Викладацька діяльність освітньої компоненти "Бізнес-дизайн та управління стартапами"</w:t>
            </w:r>
          </w:p>
        </w:tc>
      </w:tr>
      <w:tr w:rsidR="00F5277E" w:rsidRPr="00F5277E" w14:paraId="6F6B275C" w14:textId="77777777" w:rsidTr="00F5277E">
        <w:trPr>
          <w:trHeight w:val="94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D458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0A66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5DADB3C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6BD6059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0CA19C8C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EFF51C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13F1B5A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3AD2D0D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44A3782A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4E45C0D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6503F34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6399290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81F3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2CF8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727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576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2D9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AB0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71A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02E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110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89A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15F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DBC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57E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65052C1D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1EA9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413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дотримується розклад лекцій, занять та інших видів навчальної діяльності?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F311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515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B63F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70F3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0717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D1DE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0C13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151D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C9BEA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6237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AA92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8F83E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34A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7AC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002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CC8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5A9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37B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2D6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40F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BDB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C11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845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17B13242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A2FF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47D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стимулює викладач інтерес до дисципліни, чи мотивує до її вивчення?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685F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DB7BC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E75D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AE0E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352D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ECAAA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1C8A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A9F67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2273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7E317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FCF56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1D1E2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BB6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DC6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124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B92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512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0C0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221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B91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235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950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E26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7B651D06" w14:textId="77777777" w:rsidTr="00F5277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1C13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B13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розкриває викладач тему в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іткій, ясній формі?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0D747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FB24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6644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274A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2EC1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8D127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C9D0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224C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91E4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BC17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8ED9C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04E92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E2C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88F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87C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AB4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397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15D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DF3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932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2C5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D20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613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4CE424B2" w14:textId="77777777" w:rsidTr="00F5277E">
        <w:trPr>
          <w:trHeight w:val="9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77466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6B9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корисні для вивчення дисципліни такі об'єднуючі (інтегративні) види навчальної діяльності, як семінари, лабораторні та практичні заняття?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2119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8D5F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5735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5DDAA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5AA8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C133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965A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E184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7313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8E74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C3FEA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CE0A7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4F0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33E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4B9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3F5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CC9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B09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D5C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614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D7E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DE2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65D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2C4C4D91" w14:textId="77777777" w:rsidTr="00F5277E">
        <w:trPr>
          <w:trHeight w:val="9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0A0B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ADC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Якщо семінари, лабораторні та практичні заняття проводять інші викладачі, чи розкривають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вони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тему, що вивчається, чітко і зрозуміло?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26E1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608F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2381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F37E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F84F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BA8A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1003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2A5C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FCFE4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7219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F72F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97B65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7E1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607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0FE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72A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3B8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6ED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B13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1C7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DAE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2D6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9FE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422FA2DA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875B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BBC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здійснюється вивчення дисципліни відповідно до робочої програми дисципліни?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A944A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77EB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46C2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4E2F7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3E15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7B41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5DEFA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8153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34E6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29FD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A5186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63C7F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C48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5A9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394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3E8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27D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484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142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EAC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4FC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22D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9B4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37DB4437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762C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677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відповідає викладач на питання слухачі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дає додаткові пояснення?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F7E7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3C8E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F947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09DA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D27D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E864C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302F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603D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E32D7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10C8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9F67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07317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26F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14C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C2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CB0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822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48F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F3D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425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AE6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276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368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05EE0DB8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B8C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E9D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8E8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B33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836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7C3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E88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212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22D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A98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CA4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FA0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EE0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569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712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31D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F51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954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B28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626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955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D93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EBC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EDD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21A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7949165E" w14:textId="77777777" w:rsidTr="00F5277E">
        <w:trPr>
          <w:trHeight w:val="315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08D7" w14:textId="77777777" w:rsidR="00F5277E" w:rsidRPr="00F5277E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Висновок про викладацьку діяльність освітній компоненти "Бізнес-дизайн та управління стартапами": </w:t>
            </w:r>
          </w:p>
          <w:p w14:paraId="6A53510C" w14:textId="77777777" w:rsidR="00F5277E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в аналізованій таблиці середнє значення задоволеності здобувачів вищої освіти дорівнює 69%, </w:t>
            </w:r>
          </w:p>
          <w:p w14:paraId="0F0CCE0A" w14:textId="195925C9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що є позитивним результатом.</w:t>
            </w:r>
          </w:p>
        </w:tc>
      </w:tr>
      <w:tr w:rsidR="00F5277E" w:rsidRPr="00F5277E" w14:paraId="13784F0B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11F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969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9CE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54C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869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5EB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630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C16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746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0B3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BE0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013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595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7D6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81E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994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6BB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68C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981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A9D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FCB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ECB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F1B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D84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79E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103AFABD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56E3" w14:textId="72461EF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Освітня компонента "Бізнес-дизайн та управління стартапами"</w:t>
            </w:r>
          </w:p>
        </w:tc>
      </w:tr>
      <w:tr w:rsidR="00F5277E" w:rsidRPr="00F5277E" w14:paraId="36F3A01F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36C4" w14:textId="11F2F9EE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 питань 3 з 4 "Умови реалізації освітньої діяльності з освітньої компоненти "Бізнес-дизайн та управління стартапами"</w:t>
            </w:r>
          </w:p>
        </w:tc>
      </w:tr>
      <w:tr w:rsidR="00F5277E" w:rsidRPr="00F5277E" w14:paraId="57F3573F" w14:textId="77777777" w:rsidTr="00F5277E">
        <w:trPr>
          <w:trHeight w:val="94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0E00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05D44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2306CDE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5716B6D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1D723E37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2C9761C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45C4D78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2B8C46B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3F81553C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5FAFC39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74EEC40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06E23FE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9EC77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15484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2A2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66E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15E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BC5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A1D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2E9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11E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837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319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7BB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E95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69F71911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6EA26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7A9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ідходять аудиторії для проведення занять з дисципліни (кількість місць, видимість, чутність)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9A576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D843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5545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0A5A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0E086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2462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9247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9108C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C957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FB2F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10C9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DB1EF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18E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4D1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0AA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65D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BE8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F73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DF6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7E5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7B4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75A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905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546F15E2" w14:textId="77777777" w:rsidTr="00F5277E">
        <w:trPr>
          <w:trHeight w:val="9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99B9C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81D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достатньо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добре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обладнані аудиторії та кабінети для проведення семінарів, лабораторних і практичних занять?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A0574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00AE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E4E7A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780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9CED4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0564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AFC0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2386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BC926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093F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855E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5229E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BFD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AC8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F38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8F5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85E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63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D25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36B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89F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56E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4F6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7278B168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556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CD4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DE3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86C6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581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FF84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409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F8A8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456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ABAD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D4F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5F72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967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5AD2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081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90C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141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92D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F51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2DC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DF0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C2F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889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F2E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A27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3E2563A8" w14:textId="77777777" w:rsidTr="00F5277E">
        <w:trPr>
          <w:trHeight w:val="315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3D21" w14:textId="77777777" w:rsidR="00F5277E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Висновок про умови реалізації освітньої діяльності з освітній компоненти "Бізнес-дизайн та управління стартапами": </w:t>
            </w:r>
          </w:p>
          <w:p w14:paraId="1B3AE9BB" w14:textId="2634DBCE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аналізованій таблиці середнє значення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задоволеності здобувачів вищої освіти дорівнює 79,2 %, що є позитивним результатом.</w:t>
            </w:r>
          </w:p>
        </w:tc>
      </w:tr>
      <w:tr w:rsidR="00F5277E" w:rsidRPr="00F5277E" w14:paraId="453AED73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EAC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26A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09D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854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C3A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1B4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9BB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724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F8F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BF6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974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7BF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19B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F4F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9B1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C39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1F4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887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1F9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908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FB7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BFD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048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870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611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3612E65C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711C" w14:textId="66DB0284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Освітня компонента "Бізнес-дизайн та управління стартапами"</w:t>
            </w:r>
          </w:p>
        </w:tc>
      </w:tr>
      <w:tr w:rsidR="00F5277E" w:rsidRPr="00F5277E" w14:paraId="54E5C198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83D7" w14:textId="11A2D1BE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 питань 4 з 4 "Зацікавленість освітньою компонентою "Бізнес-дизайн та управління стартапами"</w:t>
            </w:r>
          </w:p>
        </w:tc>
      </w:tr>
      <w:tr w:rsidR="00F5277E" w:rsidRPr="00F5277E" w14:paraId="0A0BE717" w14:textId="77777777" w:rsidTr="00F5277E">
        <w:trPr>
          <w:trHeight w:val="94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9282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7060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6A5F703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6A61E6C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48DFE5A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5079B3F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67FB1B4C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27530E66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385C2616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422DFB5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790F771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61599D2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FBB1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A135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A9B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47B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4C8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DC2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5B4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57A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89D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BCF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868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D73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4CD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5BF61D26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D05D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000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викликають інтерес теми, що вивчаються в рамках дисципліни?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0372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1E9F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9146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16AD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BD03C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04E6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BF57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4DDB4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A0574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FFC6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3877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FA31C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57B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F81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8B0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5AB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4AD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BED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7E6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DFC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746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088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42A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5FB0A328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121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140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832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E3ED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F1D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5B04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76F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3C73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C34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1073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D24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1170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C42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535F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497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226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2CD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7F3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E4F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303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9EE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D33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1C7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6E4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751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4B02FC83" w14:textId="77777777" w:rsidTr="00F5277E">
        <w:trPr>
          <w:trHeight w:val="315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3164" w14:textId="77777777" w:rsidR="00F5277E" w:rsidRPr="00F5277E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Висновок про Зацікавленість освітньою компонентою "Бізнес-дизайн та управління стартапами": </w:t>
            </w:r>
          </w:p>
          <w:p w14:paraId="69238678" w14:textId="77777777" w:rsidR="00F5277E" w:rsidRPr="00F5277E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в аналізованій таблиці середнє значення задоволеності здобувачів вищої освіти дорівнює 86,1 %, </w:t>
            </w:r>
          </w:p>
          <w:p w14:paraId="12EA8BD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що є позитивним результатом.</w:t>
            </w:r>
          </w:p>
        </w:tc>
      </w:tr>
      <w:tr w:rsidR="00F5277E" w:rsidRPr="00F5277E" w14:paraId="65509B7A" w14:textId="77777777" w:rsidTr="00F5277E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05C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Освітня компонента "Комерціалізація інтелектуальної власності"</w:t>
            </w:r>
          </w:p>
        </w:tc>
      </w:tr>
      <w:tr w:rsidR="00F5277E" w:rsidRPr="00F5277E" w14:paraId="51B92436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D3F5" w14:textId="4437F1E9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 питань 1 з 4 "Залиште відгук про організацію навчання з освітньої компоненти  "Комерціалізація інтелектуальної власності"</w:t>
            </w:r>
          </w:p>
        </w:tc>
      </w:tr>
      <w:tr w:rsidR="00F5277E" w:rsidRPr="00F5277E" w14:paraId="49193485" w14:textId="77777777" w:rsidTr="00F5277E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F0D06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37E1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6959FDB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3C66635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3EFECE7C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504453D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6852704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3DA9F43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3C0B9496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235022D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5454B47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509B514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AF9A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826C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7EA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6E1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426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2FA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A84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BBD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D21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866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6F3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819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A4A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66E86FAB" w14:textId="77777777" w:rsidTr="00F5277E">
        <w:trPr>
          <w:trHeight w:val="9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09F57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C25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забезпечує розклад достатню регулярність проведення лекційних занять та виконання самостійної роботи?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484FA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E45B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5174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A050A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FFDB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622D6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34A27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08EE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76B3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81BE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261DA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0BD3E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BB9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F91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6BE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864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49E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295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E95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9C6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12C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43C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B07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484D4B9E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0DF3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2B7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достатні раніше набуті знання для розуміння тем (модулів), що викладаються в рамках дисципліни?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E055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FDDE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FE39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A21E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411F4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1B8D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C41C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55CC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5B33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9D65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FD33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7C811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3062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FAEB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E137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EBC6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E063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16D8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3D66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5A2C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3B42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3AEB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254D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6D838960" w14:textId="77777777" w:rsidTr="00F5277E">
        <w:trPr>
          <w:trHeight w:val="6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AB6E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9E5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відповідає обсяг навчального навантаження з дисципліни кредитам, що присвоюються?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5703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D893A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63AD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CB3A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5148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1CA2C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5E43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19B0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43A9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8D32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860C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53FDB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F89A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198D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299E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7D6C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6E37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1F46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AAE0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3E1E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DD85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2879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300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1D92D6F4" w14:textId="77777777" w:rsidTr="00F5277E">
        <w:trPr>
          <w:trHeight w:val="900"/>
        </w:trPr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A211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04F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є матеріал, представлений в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ідручниках та інших навчальних посібниках, достатнім для дослідження і вивчення дисципліни?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C50B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2812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0D5B6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3713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B63D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1D13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35DC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27E3A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6177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50FB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982B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8F4D5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725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0B3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F88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428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404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CA5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B1C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56F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F6E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272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B27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179DC908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CFFF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AE5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чітко визначені форми, умови, методи проведення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ідсумкового контролю?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35D9A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AA04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4B57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35E7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CE42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9D15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FAA6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9F28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B456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3022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725D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319BE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853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284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678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BA6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CDC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DBE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F96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AF7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4F0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C7D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461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224F1BFA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084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6E5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609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52CA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BB2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30EA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5CD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A503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414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FF50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7FE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5A3E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E58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2555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12C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5C6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AC2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803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268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E88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601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901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B93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8FE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923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47C8CA5C" w14:textId="77777777" w:rsidTr="00F5277E">
        <w:trPr>
          <w:trHeight w:val="315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110C" w14:textId="77777777" w:rsidR="00F5277E" w:rsidRPr="00F5277E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Висновок про організацію навчання з освітній компоненти "Комерціалізація інтелектуальної власності":</w:t>
            </w:r>
          </w:p>
          <w:p w14:paraId="6E27E148" w14:textId="77777777" w:rsidR="00F5277E" w:rsidRPr="00F5277E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в аналізованій таблиці середнє значення задоволеності здобувачів вищої освіти дорівнює 66,1%, </w:t>
            </w:r>
          </w:p>
          <w:p w14:paraId="0AFA84E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що є позитивним результатом.</w:t>
            </w:r>
          </w:p>
        </w:tc>
      </w:tr>
      <w:tr w:rsidR="00F5277E" w:rsidRPr="00F5277E" w14:paraId="7FE6A406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19B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69B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11B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152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A50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B1B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BD5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F3D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6A8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691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DCC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232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521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64C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EC6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C5F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93E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ED9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66B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C2F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8A5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7C3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84E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9FA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A37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0F03BA94" w14:textId="77777777" w:rsidTr="00F5277E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7E0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Освітня компонента "Комерціалізація інтелектуальної власності"</w:t>
            </w:r>
          </w:p>
        </w:tc>
      </w:tr>
      <w:tr w:rsidR="00F5277E" w:rsidRPr="00F5277E" w14:paraId="7327D18C" w14:textId="77777777" w:rsidTr="00F5277E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6AE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 питань 2 з 4 "Викладацька діяльність освітньої компоненти "Комерціалізація інтелектуальної власності"</w:t>
            </w:r>
          </w:p>
        </w:tc>
      </w:tr>
      <w:tr w:rsidR="00F5277E" w:rsidRPr="00F5277E" w14:paraId="29A90937" w14:textId="77777777" w:rsidTr="00F5277E">
        <w:trPr>
          <w:trHeight w:val="94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EE4B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8254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167BF45C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2C5A2ACA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1A28582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8CAC90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368EEADC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23D4C12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3403D196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118C331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4A91041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3858026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063B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EFFFC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347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DC3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6CF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054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F0D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B68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695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9BC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10D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8D6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647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2E7B4135" w14:textId="77777777" w:rsidTr="00F5277E">
        <w:trPr>
          <w:trHeight w:val="416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35C1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673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дотримується розклад лекцій, занять та інших видів навчальної діяльності?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089D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491B7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6CB16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9C7E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702F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9CF5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32D7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5172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6585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6B56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AF18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1E86B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393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00B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B29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087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9CD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DB5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B1F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E36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55A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33C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04A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4D4D7D80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1585C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8D8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стимулює викладач інтерес до дисципліни, чи мотивує до її вивчення?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E22A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5397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B5DC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A892A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D0E9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573C6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74054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BC8B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F9AB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EA1C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19747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550FE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DDB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8D3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921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095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528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C04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8A89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A2E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535C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D48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0C4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1C6F9071" w14:textId="77777777" w:rsidTr="00F5277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472B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A5F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розкриває викладач тему в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іткій, ясній формі?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B373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20DF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DFC5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77AF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42C77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AC4EC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15697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3DC4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6B8E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074C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C974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3BC2F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1E8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125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5F6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3E7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465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0D9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094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E87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0B2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767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4A4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6EFAB726" w14:textId="77777777" w:rsidTr="00F5277E">
        <w:trPr>
          <w:trHeight w:val="9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50D7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C82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корисні для вивчення дисципліни такі об'єднуючі (інтегративні) види навчальної діяльності, як семінари, лабораторні та практичні заняття?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28C8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5395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45C9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2203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9EF3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BBF2B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19D74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233E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DC05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8B5E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63E4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FCC7D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8EB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918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53F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109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381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806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07C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0EC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448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02F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CD5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7F3E4FF2" w14:textId="77777777" w:rsidTr="00F5277E">
        <w:trPr>
          <w:trHeight w:val="9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1306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D193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Якщо семінари, лабораторні та практичні заняття проводять інші викладачі, чи розкривають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вони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тему, що вивчається, чітко і зрозуміло?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9FA8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CC5C4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BB70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8BA8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83E4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A326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BDED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01CD8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F5C4A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46A3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B5FA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24352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619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2F5B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8AC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C50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35E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6D4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1E6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4F4D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EB3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068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60D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39D9CBD2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DFA3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E64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здійснюється вивчення дисципліни відповідно до робочої програми дисципліни?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5AEF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5578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A9E5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87AF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1508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A66B7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34C01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78DD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86164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D2AB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C1C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51A2E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9FD0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BBBD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32FC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DCADA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BDEF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4A3E8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0EBC0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0F0F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8901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BA45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C27A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476E79AA" w14:textId="77777777" w:rsidTr="00F5277E">
        <w:trPr>
          <w:trHeight w:val="6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CF9D3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F8E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відповідає викладач на питання слухачі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дає додаткові пояснення?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0B8DC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0CA0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457C5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814E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7CBBF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03DB2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BB14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DB66E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C8389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EF610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28EBD" w14:textId="77777777" w:rsidR="00F5277E" w:rsidRPr="00BF6BF7" w:rsidRDefault="00F5277E" w:rsidP="00F5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ADB14" w14:textId="77777777" w:rsidR="00F5277E" w:rsidRPr="00BF6BF7" w:rsidRDefault="00F5277E" w:rsidP="00F5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34FD4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A4F61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4347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EDA82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1760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AE635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E411E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4E8C7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2DBB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3782F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7D36" w14:textId="77777777" w:rsidR="00F5277E" w:rsidRPr="00BF6BF7" w:rsidRDefault="00F5277E" w:rsidP="00F52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3695E6BC" w14:textId="77777777" w:rsidTr="00F5277E">
        <w:trPr>
          <w:trHeight w:val="315"/>
        </w:trPr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465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AB2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194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C88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E58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AF7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EA8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155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769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130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2EB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CC3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146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410F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922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84E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EFA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994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674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16A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0AE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D7E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4AD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6A4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EA2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0A3168EA" w14:textId="77777777" w:rsidTr="00F5277E">
        <w:trPr>
          <w:trHeight w:val="315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8AD9" w14:textId="77777777" w:rsidR="00F5277E" w:rsidRPr="00F5277E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Висновок про викладацьку діяльність освітній компоненти "Комерціалізація інтелектуальної власності":</w:t>
            </w:r>
          </w:p>
          <w:p w14:paraId="2EF8646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в аналізованій таблиці середнє значення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задоволеності здобувачів вищої освіти дорівнює 69 %, що є позитивним результатом.</w:t>
            </w:r>
          </w:p>
        </w:tc>
      </w:tr>
      <w:tr w:rsidR="00F5277E" w:rsidRPr="00F5277E" w14:paraId="7C70E882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9F2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028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650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DC8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5ED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278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66D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296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421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6F9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303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ED4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65D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4AB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255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A8A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33A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8D1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90E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0CA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921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C53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681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C1B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C23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303EEF8A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B5F3" w14:textId="58D2A8BA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Освітня компонента "Комерціалізація інтелектуальної власності"</w:t>
            </w:r>
          </w:p>
        </w:tc>
      </w:tr>
      <w:tr w:rsidR="00F5277E" w:rsidRPr="00F5277E" w14:paraId="0C2C0B4E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6122" w14:textId="3A4D206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 питань 3 з 4 "Умови реалізації освітньої діяльності з освітньої компоненти "Комерціалізація інтелектуальної власності"</w:t>
            </w:r>
          </w:p>
        </w:tc>
      </w:tr>
      <w:tr w:rsidR="00F5277E" w:rsidRPr="00F5277E" w14:paraId="552F2010" w14:textId="77777777" w:rsidTr="00F5277E">
        <w:trPr>
          <w:trHeight w:val="94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A716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DF00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550E223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1A4462C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4C8EB70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A11352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213010C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4C014BD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68C70F8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37ABB67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5184AA5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69875F4F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0512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573B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490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CD6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371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3FC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ADB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CE5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305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EED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C1D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1C9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B15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1DC6F298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DF98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8EB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ідходять аудиторії для проведення занять з дисципліни (кількість місць, видимість, чутність)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5264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A27D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6555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4D15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F84E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AF97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06E9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F918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E35B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E9EB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CB7E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769A4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7AD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6D4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366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DFB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4DB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12B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AB6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B16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FF6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D7F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9AD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28EED341" w14:textId="77777777" w:rsidTr="00F5277E">
        <w:trPr>
          <w:trHeight w:val="9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570A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BDA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достатньо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добре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обладнані аудиторії та кабінети для проведення семінарів, лабораторних і практичних занять?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8352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B638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5BD0F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2B6D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C965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071B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6E80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FFBA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62ED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F49D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09A3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A0DE6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EE1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073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EC8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EB0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4C8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5FC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B1E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B52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794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4B7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262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7FD4ACDF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2EB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14F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5CE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4948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4BE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141E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A10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A8F6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BA0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CEDA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440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C1A5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AF8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DC86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F9C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9C0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CCB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0CC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092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EA1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6FA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D24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BBC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11D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25F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47C3BEE2" w14:textId="77777777" w:rsidTr="00F5277E">
        <w:trPr>
          <w:trHeight w:val="315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DFCC" w14:textId="77777777" w:rsidR="00F5277E" w:rsidRPr="00F5277E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Висновок про умови реалізації освітньої діяльності з освітній компоненти </w:t>
            </w:r>
          </w:p>
          <w:p w14:paraId="12AE677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"Комерціалізація інтелектуальної власності": в аналізованій таблиці середнє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  <w:br/>
              <w:t>значення задоволеності здобувачів вищої освіти дорівнює 76,4 %, що є позитивним результатом.</w:t>
            </w:r>
          </w:p>
        </w:tc>
      </w:tr>
      <w:tr w:rsidR="00F5277E" w:rsidRPr="00F5277E" w14:paraId="2F729F1F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B39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EA1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873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FD5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3E8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B80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CF7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E9C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B0E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F1D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DAB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2E4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B35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C32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86C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A74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30B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128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BA4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6CA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84C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C4E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B0C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746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F47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F5277E" w:rsidRPr="00F5277E" w14:paraId="36033B7F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6115" w14:textId="3AB57CAF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Освітня компонента "Комерціалізація інтелектуальної власності"</w:t>
            </w:r>
          </w:p>
        </w:tc>
      </w:tr>
      <w:tr w:rsidR="00F5277E" w:rsidRPr="00F5277E" w14:paraId="07E2E1D9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9527" w14:textId="4E77E743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 питань 4 з 4 "Зацікавленість освітньою компонентою "Комерціалізація інтелектуальної власності"</w:t>
            </w:r>
          </w:p>
        </w:tc>
      </w:tr>
      <w:tr w:rsidR="00F5277E" w:rsidRPr="00F5277E" w14:paraId="022A03DA" w14:textId="77777777" w:rsidTr="00F5277E">
        <w:trPr>
          <w:trHeight w:val="94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EEBC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899C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4220F2C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050EF46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29C2855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681E20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5FC8D95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3746E4A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35BEB2C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6FDD93DF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227EBD7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73371D7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2A15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4868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056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90D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54D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493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BB1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41B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D39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04A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2D8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EE0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656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023143C2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2771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CDB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викликають інтерес теми, що вивчаються в рамках дисципліни?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3132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1E7A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0C58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6163F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038B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BB4E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8745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2EBD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E7B9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7F33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AA15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CFD1E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58A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59D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25A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743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C43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4D9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5FC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A7B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C6B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382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98D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6FD1F22A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2B6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555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585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5BCD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788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9216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402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73DC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884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DEF8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750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A2CD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65B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161E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414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475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E38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FB4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8E7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4EB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648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6DF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EEF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E0E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25E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55012BF4" w14:textId="77777777" w:rsidTr="00F5277E">
        <w:trPr>
          <w:trHeight w:val="315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35C2" w14:textId="77777777" w:rsidR="00F5277E" w:rsidRPr="00F5277E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Висновок про Зацікавленість освітньою компонентою "Комерціалізація інтелектуальної власності": </w:t>
            </w:r>
          </w:p>
          <w:p w14:paraId="27CF411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аналізованій таблиці середнє значення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задоволеності здобувачів вищої освіти дорівнює 77,8%, що є позитивним результатом.</w:t>
            </w:r>
          </w:p>
        </w:tc>
      </w:tr>
      <w:tr w:rsidR="00F5277E" w:rsidRPr="00F5277E" w14:paraId="1432D989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8E82" w14:textId="6FB3488F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Освітня компонента "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ідприємницький бізнес "</w:t>
            </w:r>
          </w:p>
        </w:tc>
      </w:tr>
      <w:tr w:rsidR="00F5277E" w:rsidRPr="00F5277E" w14:paraId="2D8217B9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629E" w14:textId="2A6CDDA4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 питань 1 з 4 "Залиште відгук про організацію навчання з освітньої компоненти  "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ідприємницький бізнес "</w:t>
            </w:r>
          </w:p>
        </w:tc>
      </w:tr>
      <w:tr w:rsidR="00F5277E" w:rsidRPr="00F5277E" w14:paraId="4C1839B6" w14:textId="77777777" w:rsidTr="00F5277E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4E34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F26A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021AC00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574624B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38FB353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836047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6B56B9A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791DF74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0DA3C83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5F45B29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0FE109F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4747608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E1BA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82AB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8B4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583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467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F87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929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A9B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988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E10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2C1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862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ACE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58308C3D" w14:textId="77777777" w:rsidTr="00F5277E">
        <w:trPr>
          <w:trHeight w:val="9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ACC4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1BA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забезпечує розклад достатню регулярність проведення лекційних занять та виконання самостійної роботи?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1A6E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D74D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926E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6B6A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AD24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0E56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E49F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8212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CDD9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EA10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4975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D7EA7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950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E76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C9A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57C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18A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853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0C5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F1A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568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276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8B0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6BFF3EAA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0E90F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C9A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достатні раніше набуті знання для розуміння тем </w:t>
            </w: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(модулів), що викладаються в рамках дисципліни?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ADAE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C765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561F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B2F1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99B2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3252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5232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2952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0573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F1B0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D601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B5BAC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93C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046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444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359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3EA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0B4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5E8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988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BA0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494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0AA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3DF14E90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3F5D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4F0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відповідає обсяг навчального навантаження з дисципліни кредитам, що присвоюються?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3F7D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8D33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AECF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0DA3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FD20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87DC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D259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7C87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2DA1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69D0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2A6C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4F197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0AC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E40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F73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2A5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FCE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3E0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568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892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9C3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D30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A6B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769860E7" w14:textId="77777777" w:rsidTr="00F5277E">
        <w:trPr>
          <w:trHeight w:val="9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B7D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730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є матеріал, представлений в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ідручниках та інших навчальних посібниках, достатнім для дослідження і вивчення дисципліни?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3846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C271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52B0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0547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4C6B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8863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1D21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645C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EBED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B89F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845A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52D14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131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FD0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945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9A2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C8F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F8B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1CF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F87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6F1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270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885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21906E95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A673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A49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чітко визначені форми, умови, методи проведення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ідсумкового контролю?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7C38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5760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EA04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859B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61CE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024A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A3CB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7CE2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BDB2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310C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68EB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CAFDC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4E1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741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334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08F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450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C7B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0E8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105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5F8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A50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BA3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24500141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1B5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21A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512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A821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B4B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535C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B9B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FA98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68B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29F9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E1B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F6E9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2E0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6CCE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DF6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074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E8C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316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BE2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4BB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514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CC6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AEA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AE2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1F0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35A632AF" w14:textId="77777777" w:rsidTr="00F5277E">
        <w:trPr>
          <w:trHeight w:val="315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D1B0" w14:textId="77777777" w:rsidR="00F5277E" w:rsidRPr="00F5277E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Висновок про організацію навчання з освітній компоненти "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ідприємницький бізнес ": </w:t>
            </w:r>
          </w:p>
          <w:p w14:paraId="1A1513D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аналізованій таблиці середнє значення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задоволеності здобувачів вищої освіти дорівнює 72,8%, що є позитивним результатом.</w:t>
            </w:r>
          </w:p>
        </w:tc>
      </w:tr>
      <w:tr w:rsidR="00F5277E" w:rsidRPr="00F5277E" w14:paraId="11614365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43C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322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2FC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DFE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9A9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DF3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F4C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377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8AC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760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7E3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748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F42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649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BD1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D2B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0C5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B56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F84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9CC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735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531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FFE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3DD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537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67C0D6C5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FA01" w14:textId="0D744B06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Освітня компонента "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ідприємницький бізнес "</w:t>
            </w:r>
          </w:p>
        </w:tc>
      </w:tr>
      <w:tr w:rsidR="00F5277E" w:rsidRPr="00F5277E" w14:paraId="34D2AC16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4F22" w14:textId="7AC572D9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 питань 2 з 4 "Викладацька діяльність освітньої компоненти "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ідприємницький бізнес "</w:t>
            </w:r>
          </w:p>
        </w:tc>
      </w:tr>
      <w:tr w:rsidR="00F5277E" w:rsidRPr="00F5277E" w14:paraId="5EFBB625" w14:textId="77777777" w:rsidTr="00F5277E">
        <w:trPr>
          <w:trHeight w:val="94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08E9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A7B4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1228903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393148A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32BCEAC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487083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1B53FE5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005195A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54E6915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2C628B8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5B8E8E0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06EABAC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BDB7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EBA5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ADA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471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276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8EE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058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6B5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143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9A2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ED5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D3C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BF6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11AAFB69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7A09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204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дотримується розклад лекцій, занять та інших видів навчальної діяльності?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A83B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C6B2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7CFA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5DF4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3AE0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88A3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BAFAF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F938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BA2C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03BA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D589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BD040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00C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218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BB5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F83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160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CFA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D2E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A99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44B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530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2E3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58C3C818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B9A6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12A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стимулює викладач інтерес до дисципліни, чи мотивує до її вивчення?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950D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F015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3AAD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DEF7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7AD1F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96DC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469B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975B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4CEB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AD3A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604E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71950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F48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5FB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E1A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566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96B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0C1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139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7E8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437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872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4D5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60B8F4D9" w14:textId="77777777" w:rsidTr="00F5277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01C5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AE8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розкриває викладач тему в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іткій, ясній формі?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FE78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1FD4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DB74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DD52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6D3E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CB24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0AB8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05FE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C44A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1F6A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F816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39952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96E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445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3D7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A37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3D1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822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1A7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0A3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C8A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A55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631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63350D14" w14:textId="77777777" w:rsidTr="00F5277E">
        <w:trPr>
          <w:trHeight w:val="9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6143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F3E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корисні для вивчення дисципліни такі об'єднуючі (інтегративні) види навчальної діяльності, як семінари, лабораторні та практичні заняття?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66C5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6F86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48D7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3E65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8AF2F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5898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99F4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0A9E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302D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00E7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73BA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84266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F68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911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85A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4C4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4BB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10E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9B8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5E9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8FF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751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809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14F60C0F" w14:textId="77777777" w:rsidTr="00F5277E">
        <w:trPr>
          <w:trHeight w:val="9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3B6C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883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Якщо семінари, лабораторні та практичні заняття проводять інші викладачі, чи розкривають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вони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тему, що вивчається, чітко і зрозуміло?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5779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A614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2D72F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5D94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C486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2CE0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6628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F485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6DCE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5D66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ED54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8F6E9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149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F8A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A68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B26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209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E85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212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91B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C3F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B43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B75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3DFA2EA8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9587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BB5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здійснюється вивчення дисципліни </w:t>
            </w: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відповідно до робочої програми дисципліни?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A061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7B7F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9F10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1438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A10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5931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85FC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006C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0C8D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519E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F5ED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5C66A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D88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9A6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AE4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7E2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BBF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BB0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06E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C6B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762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87B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5CC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31ADC298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CB50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B64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відповідає викладач на питання слухачі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дає додаткові пояснення?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50C7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B3EA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FE40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B224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ED9E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96FA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CDDC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567D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DC50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C652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23BB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91F77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DF1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2EE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40A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C2A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550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285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64F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913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80C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736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8B0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0F11FFC3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117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F0A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ECA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60F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BFB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91DF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C8F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907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8AB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362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203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40E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F23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7A46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B0E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C08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95E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66A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12A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FE5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2FB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413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003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6BD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ADC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7DF4BC56" w14:textId="77777777" w:rsidTr="00F5277E">
        <w:trPr>
          <w:trHeight w:val="315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A139" w14:textId="77777777" w:rsidR="00F5277E" w:rsidRPr="00F5277E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Висновок про викладацьку діяльність освітній компоненти "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ідприємницький бізнес ": </w:t>
            </w:r>
          </w:p>
          <w:p w14:paraId="146EE93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аналізованій таблиці середнє значення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задоволеності здобувачів вищої освіти дорівнює 69,4 %, що є позитивним результатом.</w:t>
            </w:r>
          </w:p>
        </w:tc>
      </w:tr>
      <w:tr w:rsidR="00F5277E" w:rsidRPr="00F5277E" w14:paraId="6FDB101C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30A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F81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758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A5F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AEE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9F6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8FC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CEA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D4C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DCB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532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72E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29D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E4B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F30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977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FD0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D99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C8C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605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F8F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21D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613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377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BA7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0607E2C6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D4B5" w14:textId="6B38F6A4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Освітня компонента "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ідприємницький бізнес "</w:t>
            </w:r>
          </w:p>
        </w:tc>
      </w:tr>
      <w:tr w:rsidR="00F5277E" w:rsidRPr="00F5277E" w14:paraId="77909064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2C99" w14:textId="219C03CD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 питань 3 з 4 "Умови реалізації освітньої діяльності з освітньої компоненти "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ідприємницький бізнес "</w:t>
            </w:r>
          </w:p>
        </w:tc>
      </w:tr>
      <w:tr w:rsidR="00F5277E" w:rsidRPr="00F5277E" w14:paraId="12CCA075" w14:textId="77777777" w:rsidTr="00F5277E">
        <w:trPr>
          <w:trHeight w:val="94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41C2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A091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108CC02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02B391F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3DF3CB1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CC2C55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671A5E5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79A3375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058E830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4745AAF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56BB9BA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764ED65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1B9C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19A0F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E7D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44B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65C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F40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C87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71F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10C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B2C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77B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A7D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9C1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24E18426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4764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707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ідходять аудиторії для проведення занять з дисципліни (кількість місць, видимість, чутність)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9439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216A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CAE2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12C8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66A0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F25E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CE23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EFCC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5627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F0F1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22D4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10EA3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3C1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ECA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F2F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23A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BEC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642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3AA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EB7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030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0D3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151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2A970DF0" w14:textId="77777777" w:rsidTr="00F5277E">
        <w:trPr>
          <w:trHeight w:val="9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75E2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C86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достатньо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добре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обладнані аудиторії та кабінети для проведення семінарів, лабораторних і практичних занять?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CB15F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D770F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D435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DC9C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2E1B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8E33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1C3B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E44A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CC09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444D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258A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FE970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67A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003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D3F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803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EE3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6FD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B6C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5C5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34F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9DE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437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6CB290FF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84A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098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4F3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D723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81,9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3CD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103A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27C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0684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D96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5FF1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642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666A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9FD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B355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99B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145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4E2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757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835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3E4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270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189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A1D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425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360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0989684E" w14:textId="77777777" w:rsidTr="00F5277E">
        <w:trPr>
          <w:trHeight w:val="315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85A5" w14:textId="77777777" w:rsidR="00F5277E" w:rsidRPr="00F5277E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Висновок про умови реалізації освітньої діяльності з освітній компоненти "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ідприємницький бізнес ":</w:t>
            </w:r>
          </w:p>
          <w:p w14:paraId="3320B9E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в аналізованій таблиці середнє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значення задоволеності здобувачів вищої освіти дорівнює 81,9%, що є позитивним результатом.</w:t>
            </w:r>
          </w:p>
        </w:tc>
      </w:tr>
      <w:tr w:rsidR="00F5277E" w:rsidRPr="00F5277E" w14:paraId="20F64F70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3C7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BF8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56E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23A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876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49C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F1D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EA6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195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8AC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EDF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690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4B1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F87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D24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D5B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CB3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A88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97E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A15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E06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441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893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C34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282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34F60C26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DE61" w14:textId="065BBD49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Освітня компонента "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ідприємницький бізнес "</w:t>
            </w:r>
          </w:p>
        </w:tc>
      </w:tr>
      <w:tr w:rsidR="00F5277E" w:rsidRPr="00F5277E" w14:paraId="04677232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331C" w14:textId="12CBE40B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 питань 4 з 4 "Зацікавленість освітньою компонентою "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ідприємницький бізнес "</w:t>
            </w:r>
          </w:p>
        </w:tc>
      </w:tr>
      <w:tr w:rsidR="00F5277E" w:rsidRPr="00F5277E" w14:paraId="49A03B01" w14:textId="77777777" w:rsidTr="00F5277E">
        <w:trPr>
          <w:trHeight w:val="94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4A46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4051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01F539D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37B90D8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5148C9C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07126E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3FEDC5A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1FC3925F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2CD31B0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39C0D78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361A074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1F96EEF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A32F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271F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062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851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BB4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2B2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058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EDA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198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E47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12C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3D1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B5E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153295D7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4784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BFE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викликають інтерес теми, що вивчаються в рамках дисципліни?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D4D7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1F02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6CFC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EB7D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EF70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72B5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74DF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7B1C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BD40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10F2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EBDA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FA1BC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AE3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7D0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317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47E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307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579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DF7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231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EB3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6A2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37B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79B06BE7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269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F4E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F6E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98DE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746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B77B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C86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94F2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E1F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1A65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882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3CDA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344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C99B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FBE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8AE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085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3A5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E6B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A19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F0E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5EE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D31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6AF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C1F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5125AE63" w14:textId="77777777" w:rsidTr="00F5277E">
        <w:trPr>
          <w:trHeight w:val="315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7AF4" w14:textId="77777777" w:rsidR="00F5277E" w:rsidRPr="00F5277E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Висновок про Зацікавленість освітньою компонентою  "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ідприємницький бізнес ": </w:t>
            </w:r>
          </w:p>
          <w:p w14:paraId="2C0183B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аналізованій таблиці середнє значення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задоволеності здобувачів вищої освіти дорівнює 83,3%, що є позитивним результатом.</w:t>
            </w:r>
          </w:p>
        </w:tc>
      </w:tr>
      <w:tr w:rsidR="00F5277E" w:rsidRPr="00F5277E" w14:paraId="01549A0B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42C1" w14:textId="34DE1EBF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Освітня компонента "Ділова іноземна мова"</w:t>
            </w:r>
          </w:p>
        </w:tc>
      </w:tr>
      <w:tr w:rsidR="00F5277E" w:rsidRPr="00F5277E" w14:paraId="33E6C304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E26A" w14:textId="0F5EBB5B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 питань 1 з 4 "Залиште відгук про організацію навчання з освітньої компоненти  "Ділова іноземна мова"</w:t>
            </w:r>
          </w:p>
        </w:tc>
      </w:tr>
      <w:tr w:rsidR="00F5277E" w:rsidRPr="00F5277E" w14:paraId="3AC64D18" w14:textId="77777777" w:rsidTr="00F5277E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4475F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2D5F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35971F0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018E0F2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41E8538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8D99F1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1FB8FF0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171BDEC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233E0CC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1E7BEBC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13111CD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128B4A8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602C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4F31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9E8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E96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E30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FF1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2CF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DE5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7F6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A38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988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646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BD1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301320ED" w14:textId="77777777" w:rsidTr="00F5277E">
        <w:trPr>
          <w:trHeight w:val="9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862F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FD7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забезпечує розклад достатню регулярність проведення лекційних занять та виконання самостійної роботи?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DA69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D631F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07BC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A0B4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FE8F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9C08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B984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D3C6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2EAD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85FD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1D99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4E320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A0CB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72E1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EE44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7F75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8C15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ED0D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DDF6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1625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591B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426F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6E95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25A61F0B" w14:textId="77777777" w:rsidTr="00F5277E">
        <w:trPr>
          <w:trHeight w:val="6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2E7E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97E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достатні раніше набуті знання для розуміння тем (модулів), що викладаються в рамках дисципліни?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A827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B95A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9D92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C75C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F072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1E49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B600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ED67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64D5F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333E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B825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3C70D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8253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7E97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3A50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F4D5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610B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C12B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71FA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6C28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0B18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803C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B54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072AB38B" w14:textId="77777777" w:rsidTr="00F5277E">
        <w:trPr>
          <w:trHeight w:val="600"/>
        </w:trPr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1BB3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2A9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відповідає обсяг навчального навантаження з дисципліни кредитам, що присвоюються?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A540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7451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2A9C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7D4A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65F6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64CC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D4DA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80EC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ABFE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1E1AF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BB05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8FB88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68E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1DE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819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DF9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6EB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274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51F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7C4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5EF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210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76E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782E4399" w14:textId="77777777" w:rsidTr="00F5277E">
        <w:trPr>
          <w:trHeight w:val="9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67D2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96E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є матеріал, представлений в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ідручниках та інших навчальних посібниках, достатнім для дослідження і вивчення дисципліни?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9316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8FE3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CFD2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8F9C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3A9C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5FB2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0232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0E31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58A8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F4ED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FFE4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B76F0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9A0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956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52F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65F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751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F4A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A4A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8F8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686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4DF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5FF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47827D85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44AD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7A3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чітко визначені форми, умови, методи проведення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ідсумкового контролю?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574D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FFBF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17AB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C6A8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EDC6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98FA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9547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9F55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575C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41A1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A23E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F0657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19C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25B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535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493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369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265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84E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072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50D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DF0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261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5AA3264E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304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1EC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B69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AEF3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6FE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B428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534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729C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A90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7F81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402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9653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CCC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24AB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924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A08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9EA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5D2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F9F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325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4E3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EA2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AC6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095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311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646C9D0F" w14:textId="77777777" w:rsidTr="00F5277E">
        <w:trPr>
          <w:trHeight w:val="315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6E34" w14:textId="77777777" w:rsidR="00F5277E" w:rsidRPr="00F5277E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Висновок про організацію навчання з освітній компоненти "Ділова іноземна мова": </w:t>
            </w:r>
          </w:p>
          <w:p w14:paraId="11EDA20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аналізованій таблиці середнє значення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задоволеності здобувачів вищої освіти дорівнює 72,2%, що є позитивним результатом.</w:t>
            </w:r>
          </w:p>
        </w:tc>
      </w:tr>
      <w:tr w:rsidR="00F5277E" w:rsidRPr="00F5277E" w14:paraId="609D6558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381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BCE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792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E20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E37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194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EE6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641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FC2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712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C5F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D56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774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A97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4AB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700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87B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98A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E74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53C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9E6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EC1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398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5C8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17A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38F87568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5A1B" w14:textId="3C520EE4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Освітня компонента "Ділова іноземна мова"</w:t>
            </w:r>
          </w:p>
        </w:tc>
      </w:tr>
      <w:tr w:rsidR="00F5277E" w:rsidRPr="00F5277E" w14:paraId="2FB40990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538D" w14:textId="354387D1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 питань 2 з 4 "Викладацька діяльність освітньої компоненти "Ділова іноземна мова"</w:t>
            </w:r>
          </w:p>
        </w:tc>
      </w:tr>
      <w:tr w:rsidR="00F5277E" w:rsidRPr="00F5277E" w14:paraId="357B5F8B" w14:textId="77777777" w:rsidTr="00F5277E">
        <w:trPr>
          <w:trHeight w:val="94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F9BC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7D93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1C03F39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5EA5741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0C63C76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AE5E94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113406D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13F828A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323D26E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6F0A2C4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7451A11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7A9EE95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BA38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D269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6F2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FDC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420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3A7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05E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244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2B2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768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849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582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3B4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7CF69583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D280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11F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дотримується розклад лекцій, занять та інших видів навчальної діяльності?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B7CF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5892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ADE2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9614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6865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D6AE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A5CC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6481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84F4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5539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4C61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0FC7D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F27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B6A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CC5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635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3DB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A7A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E71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27A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8BD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285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9A2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5F9C154E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2C54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932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стимулює викладач інтерес до дисципліни, чи мотивує до її вивчення?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803A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0F84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0C69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015D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30D7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8235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162C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83F4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00A0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D0E0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FDC7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9845D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DA6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432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658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3D9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8C0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5E3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C82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7E0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B86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A25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73D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64B298C9" w14:textId="77777777" w:rsidTr="00F5277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A3F4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8C5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розкриває викладач тему в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іткій, ясній формі?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A86E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648D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498A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0010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4274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3E8C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5B1D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3A07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0445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A5B3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94E0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42E19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6C1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B31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A7B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E4F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5DC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504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50C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80C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765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76C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4B1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758A0A1B" w14:textId="77777777" w:rsidTr="00F5277E">
        <w:trPr>
          <w:trHeight w:val="9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C3D8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03B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корисні для вивчення дисципліни такі об'єднуючі (інтегративні) види навчальної діяльності, як семінари, лабораторні та практичні заняття?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93D2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B022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EE3B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3CBB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BD1B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98BA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FA9F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90F6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18B2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37C9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F22D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778BA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586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4EC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752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FD8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41D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9D7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63A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CDF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323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CF6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B28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35E4B173" w14:textId="77777777" w:rsidTr="00F5277E">
        <w:trPr>
          <w:trHeight w:val="9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2B3E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908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Якщо семінари, лабораторні та практичні заняття проводять інші викладачі, чи розкривають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вони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тему, що вивчається, чітко і зрозуміло?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19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2B9A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A0A4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9E76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EC2BF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1BD9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2A65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42DB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9FA8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DDAD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198B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B7A51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623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F4A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A39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2B3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399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664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ECF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8F8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190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7D2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504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67379FE9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853B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12C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здійснюється вивчення дисципліни відповідно до робочої програми дисципліни?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E50AF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A405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2F95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426C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014D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BEAE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E4F6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89C2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A479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8A4F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DC4B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17029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A52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448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987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6B5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EAF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550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C4D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10A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628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099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E92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7B17BA96" w14:textId="77777777" w:rsidTr="00F5277E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E9B9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CF0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відповідає викладач на питання слухачі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дає додаткові пояснення?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E53E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6B75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545D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47DC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B0CA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FFFD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77B6F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71A0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D798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CB9E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424F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BCA7D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E95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7BF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FE7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CA2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6F5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3EA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90C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91F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4D4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7E8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C8F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7D5B22BD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020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ACC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120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782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23E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086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DC5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B52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4D9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CC2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E68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EA1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08B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43F2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65F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9B4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38F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936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8B9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4B1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60A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3E6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33A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954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E2C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0636E4E3" w14:textId="77777777" w:rsidTr="00F5277E">
        <w:trPr>
          <w:trHeight w:val="315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B82E" w14:textId="77777777" w:rsidR="00F5277E" w:rsidRPr="00F5277E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Висновок про викладацьку діяльність освітній компоненти  "Ділова іноземна мова": </w:t>
            </w:r>
          </w:p>
          <w:p w14:paraId="2FB6786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аналізованій таблиці середнє значення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задоволеності здобувачів вищої освіти дорівнює 71 %, що є позитивним результатом.</w:t>
            </w:r>
          </w:p>
        </w:tc>
      </w:tr>
      <w:tr w:rsidR="00F5277E" w:rsidRPr="00F5277E" w14:paraId="5AD60E18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928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62D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C07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E82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064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5B3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288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0EE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30D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BD8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2BC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150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C66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FF8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10D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EB0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C90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0F0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22B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9AC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850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5B5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3E3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F9C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0E0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41BB7216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EB23" w14:textId="5DA7631B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Освітня компонента "Ділова іноземна мова"</w:t>
            </w:r>
          </w:p>
        </w:tc>
      </w:tr>
      <w:tr w:rsidR="00F5277E" w:rsidRPr="00F5277E" w14:paraId="6503BE56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88A4" w14:textId="0A97E082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 питань 3 з 4 "Умови реалізації освітньої діяльності з освітньої компоненти "Ділова іноземна мова"</w:t>
            </w:r>
          </w:p>
        </w:tc>
      </w:tr>
      <w:tr w:rsidR="00F5277E" w:rsidRPr="00F5277E" w14:paraId="4FC0000C" w14:textId="77777777" w:rsidTr="00ED2B56">
        <w:trPr>
          <w:trHeight w:val="94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9E36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4B69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415C803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14B07A6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51549DE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639A01F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5BC0A7D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08F4CAF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321C0F7F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798B4ED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705C171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17EEEC2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583E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3286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340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383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BF9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CD2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83E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9DC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634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FE7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287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6C7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030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59F355FA" w14:textId="77777777" w:rsidTr="00ED2B56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EBF8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587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ідходять аудиторії для проведення занять з дисципліни (кількість місць, видимість, чутність)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D80F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9373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7BDE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E067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BB7A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0B3F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4FD1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D936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D880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9313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0EFC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C84DB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A94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4CB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7B6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CD3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D7E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C57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D08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A4C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3DC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0E0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2EF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626718A2" w14:textId="77777777" w:rsidTr="00ED2B56">
        <w:trPr>
          <w:trHeight w:val="9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6440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326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достатньо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добре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обладнані аудиторії та кабінети для проведення семінарів, лабораторних і практичних занять?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5A6C7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BFD9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BF61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C128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017A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8C54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5EE1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AECE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E1A06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9516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5254D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4D3FC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62A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A76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716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7B8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B97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F8C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B48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12D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37E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F13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73D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0EB92EC9" w14:textId="77777777" w:rsidTr="00ED2B56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DFB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03D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3E9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321F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82E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1E12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900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11B4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C4B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4FCA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E87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5FF9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8A2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EAEF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BAE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EED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379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FCF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BFC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3CC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EE4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6FF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E2B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BAA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55B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1352DFA1" w14:textId="77777777" w:rsidTr="00F5277E">
        <w:trPr>
          <w:trHeight w:val="315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936F" w14:textId="77777777" w:rsidR="00F5277E" w:rsidRPr="00F5277E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Висновок про умови реалізації освітньої діяльності з освітній компоненти "Ділова іноземна мова": </w:t>
            </w:r>
          </w:p>
          <w:p w14:paraId="6ED8EEE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аналізованій таблиці середнє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значення задоволеності здобувачів вищої освіти дорівнює 73,6%, що є позитивним результатом.</w:t>
            </w:r>
          </w:p>
        </w:tc>
      </w:tr>
      <w:tr w:rsidR="00F5277E" w:rsidRPr="00F5277E" w14:paraId="6D397788" w14:textId="77777777" w:rsidTr="00F5277E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DBC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8B2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28C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736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06F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15A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C041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43D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B0B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7B9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7BB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F5B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A1E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35A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D82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288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E2F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BCA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599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4F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16B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BF5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BB1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EBB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0E2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B56" w:rsidRPr="00F5277E" w14:paraId="0CE72D6E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B890" w14:textId="7F4F531F" w:rsidR="00ED2B56" w:rsidRPr="00BF6BF7" w:rsidRDefault="00ED2B56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Освітня компонента "Ділова іноземна мова"</w:t>
            </w:r>
          </w:p>
        </w:tc>
      </w:tr>
      <w:tr w:rsidR="00ED2B56" w:rsidRPr="00F5277E" w14:paraId="0655CA93" w14:textId="77777777" w:rsidTr="009F0B28">
        <w:trPr>
          <w:trHeight w:val="300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D089" w14:textId="61CB5C2F" w:rsidR="00ED2B56" w:rsidRPr="00BF6BF7" w:rsidRDefault="00ED2B56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 питань 4 з 4 "Зацікавленість освітньою компонентою "Ділова іноземна мова"</w:t>
            </w:r>
          </w:p>
        </w:tc>
      </w:tr>
      <w:tr w:rsidR="00F5277E" w:rsidRPr="00F5277E" w14:paraId="05F69DA3" w14:textId="77777777" w:rsidTr="00E37527">
        <w:trPr>
          <w:trHeight w:val="94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922B9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5EB5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57E19A0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04DE03D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5445082C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757500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6BA5364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3C1FAAF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25EDAA1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29A39D6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04D98EB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2944113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44610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0B5AB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438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724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9D9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498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539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151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582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0A1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119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429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BE0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4D74A297" w14:textId="77777777" w:rsidTr="00E37527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A253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C4B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викликають інтерес теми, що вивчаються в рамках дисципліни?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5246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287E5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41511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8DB7A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8E14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6B09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258BE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34578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CDB44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4B543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ACB52" w14:textId="77777777" w:rsidR="00F5277E" w:rsidRPr="00BF6BF7" w:rsidRDefault="00F5277E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6C58F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BE5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F3B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5A5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AC6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C69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046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799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B36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5C6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96C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B160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062515CB" w14:textId="77777777" w:rsidTr="00E37527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584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FC2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516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FCD0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73B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A14E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F50B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7A50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4EAA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B669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AE23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664D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A642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2FC8" w14:textId="77777777" w:rsidR="00F5277E" w:rsidRPr="00BF6BF7" w:rsidRDefault="00F5277E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E498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8C5D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89E7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2CA6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ABF4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8CB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9FCC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16BE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7BB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360F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ACB9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277E" w:rsidRPr="00F5277E" w14:paraId="08601916" w14:textId="77777777" w:rsidTr="00F5277E">
        <w:trPr>
          <w:trHeight w:val="315"/>
        </w:trPr>
        <w:tc>
          <w:tcPr>
            <w:tcW w:w="206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C564" w14:textId="77777777" w:rsidR="00F5277E" w:rsidRPr="00F5277E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Висновок про Зацікавленість освітньою компонентою  "Ділова іноземна мова": </w:t>
            </w:r>
          </w:p>
          <w:p w14:paraId="3FBE7375" w14:textId="77777777" w:rsidR="00F5277E" w:rsidRPr="00BF6BF7" w:rsidRDefault="00F5277E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аналізованій таблиці середнє значення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задоволеності здобувачів вищої освіти дорівнює 77,8%, що є позитивним результатом.</w:t>
            </w:r>
          </w:p>
        </w:tc>
      </w:tr>
    </w:tbl>
    <w:p w14:paraId="69AF22B4" w14:textId="77777777" w:rsidR="00F5277E" w:rsidRPr="00F5277E" w:rsidRDefault="00F5277E" w:rsidP="00E37527">
      <w:pPr>
        <w:spacing w:after="0" w:line="240" w:lineRule="auto"/>
        <w:rPr>
          <w:sz w:val="18"/>
          <w:szCs w:val="18"/>
        </w:rPr>
      </w:pPr>
    </w:p>
    <w:p w14:paraId="560463E7" w14:textId="77777777" w:rsidR="008809B4" w:rsidRPr="00177CA1" w:rsidRDefault="008809B4" w:rsidP="00E37527">
      <w:pPr>
        <w:spacing w:after="0" w:line="240" w:lineRule="auto"/>
        <w:ind w:firstLine="567"/>
        <w:jc w:val="both"/>
        <w:rPr>
          <w:highlight w:val="yellow"/>
          <w:lang w:val="uk-UA"/>
        </w:rPr>
      </w:pPr>
    </w:p>
    <w:p w14:paraId="25D0DDBC" w14:textId="05D93DC3" w:rsidR="00AD0D05" w:rsidRPr="00ED2B56" w:rsidRDefault="00E62004" w:rsidP="00E37527">
      <w:pPr>
        <w:spacing w:after="0" w:line="240" w:lineRule="auto"/>
        <w:ind w:firstLine="567"/>
        <w:jc w:val="both"/>
        <w:rPr>
          <w:lang w:val="uk-UA"/>
        </w:rPr>
      </w:pPr>
      <w:r w:rsidRPr="00ED2B56">
        <w:rPr>
          <w:lang w:val="uk-UA"/>
        </w:rPr>
        <w:t xml:space="preserve">Опитування респондентів щодо організації навчання за освітніми компонентами у </w:t>
      </w:r>
      <w:r w:rsidR="008809B4" w:rsidRPr="00ED2B56">
        <w:rPr>
          <w:lang w:val="uk-UA"/>
        </w:rPr>
        <w:t>2</w:t>
      </w:r>
      <w:r w:rsidRPr="00ED2B56">
        <w:rPr>
          <w:lang w:val="uk-UA"/>
        </w:rPr>
        <w:t xml:space="preserve"> семестрі показало, що організація освітнього процесу </w:t>
      </w:r>
      <w:r w:rsidR="008809B4" w:rsidRPr="00ED2B56">
        <w:rPr>
          <w:lang w:val="uk-UA"/>
        </w:rPr>
        <w:t xml:space="preserve">теж </w:t>
      </w:r>
      <w:r w:rsidRPr="00ED2B56">
        <w:rPr>
          <w:lang w:val="uk-UA"/>
        </w:rPr>
        <w:t xml:space="preserve">відповідає очікуванню </w:t>
      </w:r>
      <w:r w:rsidR="008809B4" w:rsidRPr="00ED2B56">
        <w:rPr>
          <w:lang w:val="uk-UA"/>
        </w:rPr>
        <w:t xml:space="preserve">здобувачів </w:t>
      </w:r>
      <w:r w:rsidRPr="00ED2B56">
        <w:rPr>
          <w:lang w:val="uk-UA"/>
        </w:rPr>
        <w:t xml:space="preserve">ОПП </w:t>
      </w:r>
    </w:p>
    <w:p w14:paraId="7A231BC2" w14:textId="77777777" w:rsidR="00ED2B56" w:rsidRDefault="00ED2B56" w:rsidP="00E37527">
      <w:pPr>
        <w:spacing w:after="0" w:line="240" w:lineRule="auto"/>
        <w:ind w:firstLine="567"/>
        <w:jc w:val="both"/>
        <w:rPr>
          <w:highlight w:val="yellow"/>
          <w:lang w:val="uk-UA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4"/>
        <w:gridCol w:w="1835"/>
        <w:gridCol w:w="673"/>
        <w:gridCol w:w="567"/>
        <w:gridCol w:w="567"/>
        <w:gridCol w:w="567"/>
        <w:gridCol w:w="709"/>
        <w:gridCol w:w="709"/>
        <w:gridCol w:w="850"/>
        <w:gridCol w:w="567"/>
        <w:gridCol w:w="567"/>
        <w:gridCol w:w="709"/>
        <w:gridCol w:w="709"/>
        <w:gridCol w:w="850"/>
      </w:tblGrid>
      <w:tr w:rsidR="009F0B28" w:rsidRPr="00BF6BF7" w14:paraId="1135CDA9" w14:textId="77777777" w:rsidTr="009F0B28">
        <w:trPr>
          <w:trHeight w:val="315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394C" w14:textId="77777777" w:rsidR="00E37527" w:rsidRDefault="00E37527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14:paraId="26511F98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Освітня компонента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"Інноваційне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ідприємництво"</w:t>
            </w:r>
          </w:p>
        </w:tc>
      </w:tr>
      <w:tr w:rsidR="009F0B28" w:rsidRPr="00BF6BF7" w14:paraId="4A303E7E" w14:textId="77777777" w:rsidTr="009F0B28">
        <w:trPr>
          <w:trHeight w:val="30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774A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Блок питань 1 з 4 "Залиште відгук про організацію навчання з освітньої компоненти  "Інноваційне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ідприємництво"</w:t>
            </w:r>
          </w:p>
        </w:tc>
      </w:tr>
      <w:tr w:rsidR="009F0B28" w:rsidRPr="00BF6BF7" w14:paraId="49854D64" w14:textId="77777777" w:rsidTr="009F0B28">
        <w:trPr>
          <w:trHeight w:val="60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A398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D83A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52114DF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7CE855C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782F2F0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52BC58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3B45CFD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0043585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32A1481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70577A9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6705D73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661EC21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87CB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45CB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9F0B28" w:rsidRPr="00BF6BF7" w14:paraId="216B97D1" w14:textId="77777777" w:rsidTr="009F0B28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6D3A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EE89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забезпечує розклад достатню регулярність проведення лекційних занять та виконання самостійної роботи?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5C61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CAB9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037F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F023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43CB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9F85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8325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FF13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4F0D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8549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2726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AFCA9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5C9F14D9" w14:textId="77777777" w:rsidTr="009F0B2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BFE2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CDBF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достатні раніше набуті знання для розуміння тем (модулів), що викладаються в рамках дисципліни?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EFF5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6761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DF14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E1A3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09FA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8895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92AF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127B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D218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BD23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B8AB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4E5C1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4644A6A6" w14:textId="77777777" w:rsidTr="009F0B2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FACB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A0D3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відповідає обсяг навчального навантаження з дисципліни кредитам, що присвоюються?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3AF4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7C42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C0C9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AE3B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E3FB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01D4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05B6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E544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32E6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8421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C655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98809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32A928DC" w14:textId="77777777" w:rsidTr="009F0B28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9FEE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B505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є матеріал, представлений в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ідручниках та інших навчальних посібниках, достатнім для дослідження і вивчення дисципліни?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E625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0C36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45D9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765A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2FAC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A7E1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489E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C4B3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F9D4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1B47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5F76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00128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2F398AEC" w14:textId="77777777" w:rsidTr="009F0B2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144C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83B9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чітко визначені форми, умови, методи проведення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ідсумкового контролю?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22C9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59BA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07C9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814B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01C8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3D11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A56D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197D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B265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AAE8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6192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EE7A5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0BE93F9F" w14:textId="77777777" w:rsidTr="009F0B2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3B74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A211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2040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E1F7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6260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C5B5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9083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D0AD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4394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7096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1305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6947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A70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8AE4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739CE5B9" w14:textId="77777777" w:rsidTr="009F0B28">
        <w:trPr>
          <w:trHeight w:val="189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74BB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Висновок про організацію навчання з освітній компоненти "Інноваційне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ідприємництво": в аналізованій таблиці середнє значення задоволеності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здобувачів вищої освіти дорівнює 71,7 %, що є позитивним результатом.</w:t>
            </w:r>
          </w:p>
        </w:tc>
      </w:tr>
      <w:tr w:rsidR="009F0B28" w:rsidRPr="00BF6BF7" w14:paraId="531A8ED8" w14:textId="77777777" w:rsidTr="009F0B2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E876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D340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3D06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1C45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5E1B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FFE3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6549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4F61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0D02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D095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A936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6896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38F4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C925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F0B28" w:rsidRPr="00BF6BF7" w14:paraId="7FFDE1EA" w14:textId="77777777" w:rsidTr="009F0B28">
        <w:trPr>
          <w:trHeight w:val="30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DECB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Освітня компонента "Інноваційне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ідприємництво"</w:t>
            </w:r>
          </w:p>
        </w:tc>
      </w:tr>
      <w:tr w:rsidR="009F0B28" w:rsidRPr="00BF6BF7" w14:paraId="6C8EE7D3" w14:textId="77777777" w:rsidTr="009F0B28">
        <w:trPr>
          <w:trHeight w:val="30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DBD9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Блок питань 2 з 4 "Викладацька діяльність освітньої компоненти "Інноваційне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ідприємництво"</w:t>
            </w:r>
          </w:p>
        </w:tc>
      </w:tr>
      <w:tr w:rsidR="009F0B28" w:rsidRPr="00BF6BF7" w14:paraId="462685D9" w14:textId="77777777" w:rsidTr="009F0B28">
        <w:trPr>
          <w:trHeight w:val="94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07B3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4E17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1229D02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6922ED5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7BF7EA8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0ED71F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603B109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54F8394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51BB7E5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20EAA60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64EF120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4293BA6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3318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ECFC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9F0B28" w:rsidRPr="00BF6BF7" w14:paraId="6852BE67" w14:textId="77777777" w:rsidTr="009F0B2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9AD4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2F4B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дотримується розклад лекцій, занять та інших видів навчальної діяльності?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83A6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6038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2E24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ED3F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7A53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9349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4A03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3196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2397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37B2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8306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4CF55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0E3FABE1" w14:textId="77777777" w:rsidTr="00E37527">
        <w:trPr>
          <w:trHeight w:val="134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F5D0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50DA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стимулює викладач інтерес до дисципліни, чи мотивує до її </w:t>
            </w: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вивчення?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79D9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4FD3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25D7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8E3E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B821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B55B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579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EB03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A54A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EEA2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ABA2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55DE3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3F0768AF" w14:textId="77777777" w:rsidTr="009F0B28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1851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BA73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розкриває викладач тему в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іткій, ясній формі?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98C7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F98E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9118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1884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62D1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D8E2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30EC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A293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B8BF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5EFB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AA0B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466C4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62006F26" w14:textId="77777777" w:rsidTr="009F0B28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7E89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2C6B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корисні для вивчення дисципліни такі об'єднуючі (інтегративні) види навчальної діяльності, як семінари, лабораторні та практичні заняття?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BE1D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4785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A272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DEDA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3B0C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1C59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52E8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5FB2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1F85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0F95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A99B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78E71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4DAFA73E" w14:textId="77777777" w:rsidTr="009F0B28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4E67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242A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Якщо семінари, лабораторні та практичні заняття проводять інші викладачі, чи розкривають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вони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тему, що вивчається, чітко і зрозуміло?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D320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611E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9F4C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06E0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9E66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99BF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05D2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314A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D642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7F94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2A26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C6D07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5AFB7043" w14:textId="77777777" w:rsidTr="009F0B2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FDF8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D887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здійснюється вивчення дисципліни відповідно до робочої програми дисципліни?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25E4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79C3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0BC5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5ADE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CF9B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3CA6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98A3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953D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2982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4E93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3A7E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D9A0A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663484A8" w14:textId="77777777" w:rsidTr="009F0B2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E932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3C31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відповідає викладач на питання слухачі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дає додаткові пояснення?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5108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7ADB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0E2F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FACC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4AEC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1E9A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C772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4708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CF46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A0B8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A407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90FEB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54495A7B" w14:textId="77777777" w:rsidTr="009F0B2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1C8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B49E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E1D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050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948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325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274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2D7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752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89D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097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F63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CAA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725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17797E5C" w14:textId="77777777" w:rsidTr="009F0B28">
        <w:trPr>
          <w:trHeight w:val="189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0996" w14:textId="3DA0E39D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Висновок про викладацьку діяльність освітній компоненти "Інноваційне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ідприємництво": в аналізованій таблиці середнє значення задоволеності здобувачів вищої освіти дорівнює 69%, що є позитивним результатом.</w:t>
            </w:r>
          </w:p>
        </w:tc>
      </w:tr>
      <w:tr w:rsidR="009F0B28" w:rsidRPr="00BF6BF7" w14:paraId="523B82C7" w14:textId="77777777" w:rsidTr="009F0B2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521C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C8FA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D945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D341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3E60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D9F2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D011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C3AA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2008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B37E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A17F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4BDE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6F79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370B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F0B28" w:rsidRPr="00BF6BF7" w14:paraId="4D09D54F" w14:textId="77777777" w:rsidTr="009F0B28">
        <w:trPr>
          <w:trHeight w:val="30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E7B4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Освітня компонента "Інноваційне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ідприємництво"</w:t>
            </w:r>
          </w:p>
        </w:tc>
      </w:tr>
      <w:tr w:rsidR="009F0B28" w:rsidRPr="00BF6BF7" w14:paraId="45A8DE86" w14:textId="77777777" w:rsidTr="009F0B28">
        <w:trPr>
          <w:trHeight w:val="30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0747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Блок питань 3 з 4 "Умови реалізації освітньої діяльності з освітньої компоненти "Інноваційне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ідприємництво"</w:t>
            </w:r>
          </w:p>
        </w:tc>
      </w:tr>
      <w:tr w:rsidR="009F0B28" w:rsidRPr="00BF6BF7" w14:paraId="41A060DC" w14:textId="77777777" w:rsidTr="009F0B28">
        <w:trPr>
          <w:trHeight w:val="94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D893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5778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3936E4E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09F79B7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7B13737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440F97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3BAF194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4769AAD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3BCB98C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0CAFE2C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529ADA4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19B3EF2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A17C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E6BF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9F0B28" w:rsidRPr="00BF6BF7" w14:paraId="2F57F367" w14:textId="77777777" w:rsidTr="009F0B2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09D1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FB34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ідходять аудиторії для проведення занять з дисципліни (кількість місць, видимість, чутність)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FEC2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3947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2B20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5985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2A9A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380A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A57D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975A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4571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F21F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6FB8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CABCF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46D1D795" w14:textId="77777777" w:rsidTr="009F0B28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1780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8F6D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достатньо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добре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обладнані аудиторії та кабінети для проведення семінарів, лабораторних і практичних занять?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5F00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56B6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5E66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48F5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B4CC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E32A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A3D3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BF75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CCEE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B196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ABDA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A1704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49A1BB86" w14:textId="77777777" w:rsidTr="009F0B2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54E1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2F34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B448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188F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D6BA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80ED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D864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5B6E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6266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E248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CE55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5532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0920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DFAC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1816AABB" w14:textId="77777777" w:rsidTr="009F0B28">
        <w:trPr>
          <w:trHeight w:val="189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EF0D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Висновок про умови реалізації освітньої діяльності з освітній компоненти "Інноваційне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ідприємництво": в аналізованій таблиці середнє значення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задоволеності здобувачів вищої освіти дорівнює 79,2 %, що є позитивним результатом.</w:t>
            </w:r>
          </w:p>
        </w:tc>
      </w:tr>
      <w:tr w:rsidR="009F0B28" w:rsidRPr="00BF6BF7" w14:paraId="1DD45ADF" w14:textId="77777777" w:rsidTr="009F0B2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75B7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C6A4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87A0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DD50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3E3F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DE37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AA0A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151A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6DA0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4B2C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ABBA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E91F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08FA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39EE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F0B28" w:rsidRPr="00BF6BF7" w14:paraId="2C729238" w14:textId="77777777" w:rsidTr="009F0B28">
        <w:trPr>
          <w:trHeight w:val="30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D6C7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Освітня компонента "Інноваційне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ідприємництво"</w:t>
            </w:r>
          </w:p>
        </w:tc>
      </w:tr>
      <w:tr w:rsidR="009F0B28" w:rsidRPr="00BF6BF7" w14:paraId="028A4714" w14:textId="77777777" w:rsidTr="009F0B28">
        <w:trPr>
          <w:trHeight w:val="30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46D6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Блок питань 4 з 4 "Зацікавленість освітньою компонентою "Інноваційне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ідприємництво"</w:t>
            </w:r>
          </w:p>
        </w:tc>
      </w:tr>
      <w:tr w:rsidR="009F0B28" w:rsidRPr="00BF6BF7" w14:paraId="56DE8E33" w14:textId="77777777" w:rsidTr="009F0B28">
        <w:trPr>
          <w:trHeight w:val="94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57AB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2B8D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1C0B186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70B5107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6D46BE7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E069FE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6F30EFF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4373373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361A1A5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2270470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4861BAD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6848FDF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44B0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FBC0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9F0B28" w:rsidRPr="00BF6BF7" w14:paraId="0C6A464A" w14:textId="77777777" w:rsidTr="009F0B2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2130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6E25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викликають інтерес теми, що вивчаються в рамках дисципліни?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E7EA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D6DD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C7CA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78D9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032D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B89D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4FE1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4762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64A3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98D0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3FAB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72383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5E648987" w14:textId="77777777" w:rsidTr="009F0B2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355C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F844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2D7C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AD4A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AF0B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3DEB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430E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2C1A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CE3D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F079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2488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2F54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6CA6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12EA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6BCC89F2" w14:textId="77777777" w:rsidTr="009F0B28">
        <w:trPr>
          <w:trHeight w:val="189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D6E2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Висновок про Зацікавленість освітньою компонентою "Інноваційне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ідприємництво": в аналізованій таблиці середнє значення задоволеності здобувачів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вищої освіти дорівнює 86,1 %, що є позитивним результатом.</w:t>
            </w:r>
          </w:p>
        </w:tc>
      </w:tr>
      <w:tr w:rsidR="009F0B28" w:rsidRPr="00BF6BF7" w14:paraId="265F85D6" w14:textId="77777777" w:rsidTr="009F0B2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EDB2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84FB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5752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98DE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3957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9D65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D68C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B52A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F349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07FD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7842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65D9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2900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9F85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F0B28" w:rsidRPr="00BF6BF7" w14:paraId="05E5F90C" w14:textId="77777777" w:rsidTr="009F0B28">
        <w:trPr>
          <w:trHeight w:val="30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3863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Освітня компонента "Проєктна діяльність"</w:t>
            </w:r>
          </w:p>
        </w:tc>
      </w:tr>
      <w:tr w:rsidR="009F0B28" w:rsidRPr="00BF6BF7" w14:paraId="47B64728" w14:textId="77777777" w:rsidTr="009F0B28">
        <w:trPr>
          <w:trHeight w:val="30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F4FC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 питань 1 з 4 "Залиште відгук про організацію навчання з освітньої компоненти  "Проєктна діяльність"</w:t>
            </w:r>
          </w:p>
        </w:tc>
      </w:tr>
      <w:tr w:rsidR="009F0B28" w:rsidRPr="00BF6BF7" w14:paraId="50A4B572" w14:textId="77777777" w:rsidTr="009F0B28">
        <w:trPr>
          <w:trHeight w:val="60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49AA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ED43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265EFA2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24AF4CF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7427517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36CA6C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1A481A9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5B318A1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168C8AA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28AEDAE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5711251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47C8B44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8E83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1CA2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9F0B28" w:rsidRPr="00BF6BF7" w14:paraId="03B2EF95" w14:textId="77777777" w:rsidTr="009F0B28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1C59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BA6D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забезпечує розклад достатню регулярність проведення лекційних занять та виконання самостійної роботи?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ACFC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0BEA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F1EE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2598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0FAB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E14B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CB39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1F01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5369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D1A1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E1A1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C310F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09253334" w14:textId="77777777" w:rsidTr="009F0B2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DE68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496A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достатні раніше набуті знання для розуміння тем (модулів), що викладаються в рамках дисципліни?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A643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27FC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D805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14B2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D87F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6C6C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5BB2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8C93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C0FD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92C5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6A8B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4887E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4A1685F1" w14:textId="77777777" w:rsidTr="009F0B2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9F4C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7567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відповідає обсяг навчального навантаження з дисципліни кредитам, що присвоюються?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1BFE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C697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7FFC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C82E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6E3A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89B0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FD36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CEB8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3A7B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58E3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CB38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152E9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4E2DD8B2" w14:textId="77777777" w:rsidTr="009F0B28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D4B7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D0B3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є матеріал, представлений в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ідручниках та інших навчальних </w:t>
            </w: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посібниках, достатнім для дослідження і вивчення дисципліни?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72CE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29DD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F227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A20B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7205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0AB7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E790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5CCF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6291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3BBD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8ED9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F50DB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3F1EBAF9" w14:textId="77777777" w:rsidTr="009F0B2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EF72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B936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чітко визначені форми, умови, методи проведення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ідсумкового контролю?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A13D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9484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58AD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CB19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623B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4AA8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EB35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3EB1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0E2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17DE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7E64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AFAA7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4EAA63AD" w14:textId="77777777" w:rsidTr="009F0B2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C84A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6C96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AF0D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699A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17A8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5249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9496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FEB5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32C7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F202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F7EA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6E5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85B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C3B9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277F8397" w14:textId="77777777" w:rsidTr="009F0B28">
        <w:trPr>
          <w:trHeight w:val="1575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CB05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Висновок про організацію навчання з освітній компоненти "Проєктна діяльність": в аналізованій таблиці середнє значення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задоволеності здобувачів вищої освіти дорівнює 66,1%, що є позитивним результатом.</w:t>
            </w:r>
          </w:p>
        </w:tc>
      </w:tr>
      <w:tr w:rsidR="009F0B28" w:rsidRPr="00BF6BF7" w14:paraId="7C117C3E" w14:textId="77777777" w:rsidTr="009F0B2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0C99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3422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BB10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564B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29ED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4927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5821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A04F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EAFE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C227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2EA2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B5DF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0E9E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9EBD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F0B28" w:rsidRPr="00BF6BF7" w14:paraId="169839ED" w14:textId="77777777" w:rsidTr="009F0B28">
        <w:trPr>
          <w:trHeight w:val="30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5095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Освітня компонента "Проєктна діяльність"</w:t>
            </w:r>
          </w:p>
        </w:tc>
      </w:tr>
      <w:tr w:rsidR="009F0B28" w:rsidRPr="00BF6BF7" w14:paraId="4A4AF67F" w14:textId="77777777" w:rsidTr="009F0B28">
        <w:trPr>
          <w:trHeight w:val="30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EBBF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 питань 2 з 4 "Викладацька діяльність освітньої компоненти "Проєктна діяльність"</w:t>
            </w:r>
          </w:p>
        </w:tc>
      </w:tr>
      <w:tr w:rsidR="009F0B28" w:rsidRPr="00BF6BF7" w14:paraId="583D1088" w14:textId="77777777" w:rsidTr="009F0B28">
        <w:trPr>
          <w:trHeight w:val="94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F467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0403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66CD56A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6E820D1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0E3E50E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7B2845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668AB51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7252573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5BE9091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160D7F1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1ED215E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7C9F631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91BD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E8AB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9F0B28" w:rsidRPr="00BF6BF7" w14:paraId="383817BD" w14:textId="77777777" w:rsidTr="009F0B2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0212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9BCC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дотримується розклад лекцій, занять та інших видів навчальної діяльності?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CAC6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F270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97DE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EFE7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54AB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0116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80B0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C2CB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C372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CC8B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D878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5E8FE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7C934E26" w14:textId="77777777" w:rsidTr="009F0B2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381B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B521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стимулює викладач інтерес до дисципліни, чи мотивує до її вивчення?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596C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6C17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9A6D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3269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BE1B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0180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6B4D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5407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7590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EE05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16D6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EF5AA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00499DDD" w14:textId="77777777" w:rsidTr="009F0B28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A0E6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5B67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розкриває викладач тему в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іткій, ясній формі?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D792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D94E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528B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70DE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D3D9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FDE0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5CA8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6521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7072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B419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0C59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98D2C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0B8F41F9" w14:textId="77777777" w:rsidTr="009F0B28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9E8B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E474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корисні для вивчення дисципліни такі об'єднуючі (інтегративні) види навчальної діяльності, як семінари, лабораторні та практичні заняття?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9450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A065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3226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BDCF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8491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7F58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2380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BEFB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7CF1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F90A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C0E9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95142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3C2C1FCD" w14:textId="77777777" w:rsidTr="009F0B28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29DA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4830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Якщо семінари, лабораторні та практичні заняття проводять інші викладачі, чи розкривають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вони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тему, що вивчається, чітко і зрозуміло?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C285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44F5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4D69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8F66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0E8C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F697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E039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BF63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197A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5108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70F5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4346D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259CB4B3" w14:textId="77777777" w:rsidTr="009F0B2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CCC0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BFC5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здійснюється вивчення дисципліни відповідно до робочої програми дисципліни?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8CE3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D0D0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9534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BC7A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7C9E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99A8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91CC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2F1D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57BC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99E7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0FEA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6ABE1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0F4A17AF" w14:textId="77777777" w:rsidTr="00E37527">
        <w:trPr>
          <w:trHeight w:val="418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D085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3510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відповідає викладач на питання слухачі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дає додаткові пояснення?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189A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A48D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87DD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1CF3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67C5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C106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D5B1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C52E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44D3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2274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94D1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E7E90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0F8D4C22" w14:textId="77777777" w:rsidTr="009F0B2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3EF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1C0C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AB5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E35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90A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955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CED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5DC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6F1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958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1D6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B4D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789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320F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5116D313" w14:textId="77777777" w:rsidTr="009F0B28">
        <w:trPr>
          <w:trHeight w:val="1575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704B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Висновок про викладацьку діяльність освітній компоненти "Проєктна діяльність": в аналізованій таблиці середнє значення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задоволеності здобувачів вищої освіти дорівнює 69 %, що є позитивним результатом.</w:t>
            </w:r>
          </w:p>
        </w:tc>
      </w:tr>
      <w:tr w:rsidR="009F0B28" w:rsidRPr="00BF6BF7" w14:paraId="6DF01322" w14:textId="77777777" w:rsidTr="009F0B2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53F8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49A8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6F8C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2C92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A74B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C24E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3748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6BE6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0682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8CA8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E45E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D41A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96C7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2603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F0B28" w:rsidRPr="00BF6BF7" w14:paraId="5C32631C" w14:textId="77777777" w:rsidTr="009F0B28">
        <w:trPr>
          <w:trHeight w:val="30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B96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Освітня компонента "Проєктна діяльність"</w:t>
            </w:r>
          </w:p>
        </w:tc>
      </w:tr>
      <w:tr w:rsidR="009F0B28" w:rsidRPr="00BF6BF7" w14:paraId="6F988EA0" w14:textId="77777777" w:rsidTr="009F0B28">
        <w:trPr>
          <w:trHeight w:val="30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1D2A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 питань 3 з 4 "Умови реалізації освітньої діяльності з освітньої компоненти "Проєктна діяльність"</w:t>
            </w:r>
          </w:p>
        </w:tc>
      </w:tr>
      <w:tr w:rsidR="009F0B28" w:rsidRPr="00BF6BF7" w14:paraId="4C55097F" w14:textId="77777777" w:rsidTr="009F0B28">
        <w:trPr>
          <w:trHeight w:val="94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47D1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EF96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0D9394E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71C5292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33C7B97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02217D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06F878C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053D571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1D41B73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7D1E678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1275DEB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4EEDC8F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3148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666D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9F0B28" w:rsidRPr="00BF6BF7" w14:paraId="42933628" w14:textId="77777777" w:rsidTr="009F0B2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A257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9915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ідходять аудиторії для проведення занять з дисципліни (кількість місць, видимість, чутність)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9735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B0A6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BE36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0685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EF39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3037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843B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9D35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C811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2730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3BB8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EA1D6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3F1A3EFC" w14:textId="77777777" w:rsidTr="009F0B28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164D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4A71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достатньо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добре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обладнані аудиторії та кабінети для проведення семінарів, лабораторних і практичних занять?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2D60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A741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42EC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390B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4739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2FB9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9946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E61F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1564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81DA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5DE5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0820F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35F46EBC" w14:textId="77777777" w:rsidTr="009F0B2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1299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7B9B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C519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171D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94DE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E09E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CA51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52C0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7AF9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799A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C5F1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5C7B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C1CA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1376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70B08268" w14:textId="77777777" w:rsidTr="009F0B28">
        <w:trPr>
          <w:trHeight w:val="1575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E61B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Висновок про умови реалізації освітньої діяльності з освітній компоненти "Проєктна діяльність": в аналізованій таблиці середнє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значення задоволеності здобувачів вищої освіти дорівнює 76,4 %, що є позитивним результатом.</w:t>
            </w:r>
          </w:p>
        </w:tc>
      </w:tr>
      <w:tr w:rsidR="009F0B28" w:rsidRPr="00BF6BF7" w14:paraId="276CA9F9" w14:textId="77777777" w:rsidTr="009F0B2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BF80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64BE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C5A9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A8CD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BA75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E941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38C9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2626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6350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BB65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E88A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9740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5708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8D25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F0B28" w:rsidRPr="00BF6BF7" w14:paraId="2D98825A" w14:textId="77777777" w:rsidTr="009F0B28">
        <w:trPr>
          <w:trHeight w:val="30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6DA8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Освітня компонента "Проєктна діяльність"</w:t>
            </w:r>
          </w:p>
        </w:tc>
      </w:tr>
      <w:tr w:rsidR="009F0B28" w:rsidRPr="00BF6BF7" w14:paraId="3AB3BD0B" w14:textId="77777777" w:rsidTr="009F0B28">
        <w:trPr>
          <w:trHeight w:val="30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72A3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 питань 4 з 4 "Зацікавленість освітньою компонентою "Проєктна діяльність"</w:t>
            </w:r>
          </w:p>
        </w:tc>
      </w:tr>
      <w:tr w:rsidR="009F0B28" w:rsidRPr="00BF6BF7" w14:paraId="0D100350" w14:textId="77777777" w:rsidTr="009F0B28">
        <w:trPr>
          <w:trHeight w:val="94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31ED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3277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618D3EA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02AA027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4F2C2DC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CE4C96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200FD91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1B087C0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2F8A301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6363DA9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08C6A75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480E29B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42AE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EA15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9F0B28" w:rsidRPr="00BF6BF7" w14:paraId="72F394E9" w14:textId="77777777" w:rsidTr="009F0B2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BC7D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4A49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викликають інтерес теми, що вивчаються в рамках дисципліни?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4C1C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B322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0F9B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87D4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AF59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D8CA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9F63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70C5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0250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9D18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7898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49C78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08A952BF" w14:textId="77777777" w:rsidTr="009F0B2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AF60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AB9A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EF7E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5F41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4071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043E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AC85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36AB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1B7C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23F6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6BE3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9CEF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62E0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1FD0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170085A9" w14:textId="77777777" w:rsidTr="009F0B28">
        <w:trPr>
          <w:trHeight w:val="1575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173E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Висновок про Зацікавленість освітньою компонентою "Проєктна діяльність": в аналізованій таблиці середнє значення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задоволеності здобувачів вищої освіти дорівнює 77,8%, що є позитивним результатом.</w:t>
            </w:r>
          </w:p>
        </w:tc>
      </w:tr>
      <w:tr w:rsidR="009F0B28" w:rsidRPr="00BF6BF7" w14:paraId="49BDF4B5" w14:textId="77777777" w:rsidTr="009F0B28">
        <w:trPr>
          <w:trHeight w:val="30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5999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Освітня компонента "Управління розвитком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ідприємницьких структур "</w:t>
            </w:r>
          </w:p>
        </w:tc>
      </w:tr>
      <w:tr w:rsidR="009F0B28" w:rsidRPr="00BF6BF7" w14:paraId="19E15F9F" w14:textId="77777777" w:rsidTr="009F0B28">
        <w:trPr>
          <w:trHeight w:val="30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B174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Блок питань 1 з 4 "Залиште відгук про організацію навчання з освітньої компоненти  "Управління розвитком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ідприємницьких структурс "</w:t>
            </w:r>
          </w:p>
        </w:tc>
      </w:tr>
      <w:tr w:rsidR="009F0B28" w:rsidRPr="00BF6BF7" w14:paraId="5912C31D" w14:textId="77777777" w:rsidTr="009F0B28">
        <w:trPr>
          <w:trHeight w:val="60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E1E3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B154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18ED10A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59A49CE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1B231EC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D60BD9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7356290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4B704C2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2E265BF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10A21C5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3626361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72F6975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946F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4418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9F0B28" w:rsidRPr="00BF6BF7" w14:paraId="3A21C7C7" w14:textId="77777777" w:rsidTr="009F0B28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41F0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342C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забезпечує розклад достатню регулярність проведення лекційних занять та виконання самостійної роботи?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953A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AF51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8B7B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CAAD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2DF4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BC90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D155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9C96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08A3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2A43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1A13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2F51A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3F773DBE" w14:textId="77777777" w:rsidTr="009F0B2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9F54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C841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достатні раніше набуті знання для розуміння тем (модулів), що викладаються в рамках дисципліни?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9594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3CA3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0B73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22ED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B06C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FEE1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CB99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9F27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8643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8DA9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7639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49EA7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13F7B123" w14:textId="77777777" w:rsidTr="009F0B2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86A0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7DBC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відповідає обсяг навчального навантаження з дисципліни кредитам, що присвоюються?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C846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0BEB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1FF4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A02A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3C62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ED6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198C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FF18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08D1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1CA8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2893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6A7FF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26C0285C" w14:textId="77777777" w:rsidTr="009F0B28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35AD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BCC1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є матеріал, представлений в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ідручниках та інших навчальних посібниках, достатнім для дослідження і вивчення дисципліни?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5F90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E5A6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E0BD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9E1D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9FD0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CBC0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715A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6030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F043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0FE8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07CD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340F8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2DE4BD09" w14:textId="77777777" w:rsidTr="009F0B2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9291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1EC4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чітко визначені форми, умови, методи проведення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ідсумкового контролю?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AFCA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B560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02FB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2A1B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3ED4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3D02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4796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3129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D8D2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C66D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1E18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5E450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10309385" w14:textId="77777777" w:rsidTr="009F0B2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D24B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60C8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DB2F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5D95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72,8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1039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0E2F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F2C0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62C7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3A85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CC11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9A83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9AD6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D85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37DB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111CBCD0" w14:textId="77777777" w:rsidTr="009F0B28">
        <w:trPr>
          <w:trHeight w:val="189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2052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Висновок про організацію навчання з освітній компоненти "Управління розвитком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ідприємницьких структур ": в аналізованій таблиці середнє значення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задоволеності здобувачів вищої освіти дорівнює 72,8%, що є позитивним результатом.</w:t>
            </w:r>
          </w:p>
        </w:tc>
      </w:tr>
      <w:tr w:rsidR="009F0B28" w:rsidRPr="00BF6BF7" w14:paraId="420ACF67" w14:textId="77777777" w:rsidTr="009F0B2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34EE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5F3B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534B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3D90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8491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A4E9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709D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F513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C307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B74F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54BF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17C1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FE09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7E94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F0B28" w:rsidRPr="00BF6BF7" w14:paraId="6E5A57F2" w14:textId="77777777" w:rsidTr="009F0B28">
        <w:trPr>
          <w:trHeight w:val="30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81E1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Освітня компонента "Управління розвитком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ідприємницьких структур "</w:t>
            </w:r>
          </w:p>
        </w:tc>
      </w:tr>
      <w:tr w:rsidR="009F0B28" w:rsidRPr="00BF6BF7" w14:paraId="0BD3B81A" w14:textId="77777777" w:rsidTr="009F0B28">
        <w:trPr>
          <w:trHeight w:val="30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DC7F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Блок питань 2 з 4 "Викладацька діяльність освітньої компоненти "Управління розвитком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ідприємницьких структур "</w:t>
            </w:r>
          </w:p>
        </w:tc>
      </w:tr>
      <w:tr w:rsidR="009F0B28" w:rsidRPr="00BF6BF7" w14:paraId="730D1C63" w14:textId="77777777" w:rsidTr="009F0B28">
        <w:trPr>
          <w:trHeight w:val="94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A674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8101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443E164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1CE9660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40FCECC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214188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17FEFB5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2BFE21B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4F5F1CE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0EE58E9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179BC5D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4E01AF8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7D9D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DA48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9F0B28" w:rsidRPr="00BF6BF7" w14:paraId="2DD274C5" w14:textId="77777777" w:rsidTr="00E37527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70A4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6F66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дотримується розклад лекцій, занять та інших видів навчальної діяльності?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B8BB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B1E3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38CD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F9C1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3820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053C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B088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414D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F589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74BD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5318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ABBC6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2FF1296F" w14:textId="77777777" w:rsidTr="00E37527">
        <w:trPr>
          <w:trHeight w:val="6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67B3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AC8D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стимулює викладач інтерес до дисципліни, чи мотивує до її вивчення?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26B8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3C66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F254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5CFB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D63F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FAF3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2110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3DB8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AE89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AF64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6C57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CDCE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58457C14" w14:textId="77777777" w:rsidTr="00E37527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F59B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C6BC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розкриває викладач тему в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іткій, ясній формі?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EE5A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DED5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73E7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3E12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1562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21C5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5DBB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C0A5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4E71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3695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D7A6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DEA62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1208E6F8" w14:textId="77777777" w:rsidTr="009F0B28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5FA3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AA02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корисні для вивчення дисципліни такі об'єднуючі (інтегративні) види навчальної діяльності, як семінари, лабораторні та практичні заняття?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0033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9266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254B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9E06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1BD8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0F18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DDFA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A7BF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35CB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8E77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3C9C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05DBD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3ACFC998" w14:textId="77777777" w:rsidTr="009F0B28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165C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CBBC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Якщо семінари, лабораторні та практичні заняття проводять інші викладачі, чи розкривають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вони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тему, що вивчається, чітко і зрозуміло?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9BDF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8ADC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076D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C59D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E91D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E136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AA9D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24DA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A1AD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4B12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BFE9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33BF4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581D1CCA" w14:textId="77777777" w:rsidTr="009F0B2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5B0C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6CA0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здійснюється вивчення дисципліни відповідно до робочої програми дисципліни?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3280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2FEE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937B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B148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EC5C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705A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038F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589F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B5BF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30CC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D510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98E19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296BDA43" w14:textId="77777777" w:rsidTr="009F0B2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644B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86A1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відповідає викладач на питання слухачі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дає додаткові пояснення?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7B53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FDA0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BBFF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051F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4D4B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1002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F3D7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6F18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B967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81A5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73D8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0D157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74D0EC5D" w14:textId="77777777" w:rsidTr="009F0B2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062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9010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686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8F1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69,4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E34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579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F1A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A3B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4E7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F54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F6AB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CF6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18C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937E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79962A4D" w14:textId="77777777" w:rsidTr="009F0B28">
        <w:trPr>
          <w:trHeight w:val="189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9058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Висновок про викладацьку діяльність освітній компоненти "Управління розвитком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ідприємницьких структур ": в аналізованій таблиці середнє значення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задоволеності здобувачів вищої освіти дорівнює 69,4 %, що є позитивним результатом.</w:t>
            </w:r>
          </w:p>
        </w:tc>
      </w:tr>
      <w:tr w:rsidR="009F0B28" w:rsidRPr="00BF6BF7" w14:paraId="73B1E716" w14:textId="77777777" w:rsidTr="009F0B2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BDDE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A4B9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1417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89C1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6AF6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1B88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36A3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07F9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9F7D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7BEB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A36F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DAF4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7F41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DECB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F0B28" w:rsidRPr="00BF6BF7" w14:paraId="61DD7235" w14:textId="77777777" w:rsidTr="009F0B28">
        <w:trPr>
          <w:trHeight w:val="30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32ED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Освітня компонента "Управління розвитком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ідприємницьких структур"</w:t>
            </w:r>
          </w:p>
        </w:tc>
      </w:tr>
      <w:tr w:rsidR="009F0B28" w:rsidRPr="00BF6BF7" w14:paraId="6A6C8404" w14:textId="77777777" w:rsidTr="009F0B28">
        <w:trPr>
          <w:trHeight w:val="30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395E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Блок питань 3 з 4 "Умови реалізації освітньої діяльності з освітньої компоненти "Управління розвитком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ідприємницьких структур"</w:t>
            </w:r>
          </w:p>
        </w:tc>
      </w:tr>
      <w:tr w:rsidR="009F0B28" w:rsidRPr="00BF6BF7" w14:paraId="23D53AE1" w14:textId="77777777" w:rsidTr="009F0B28">
        <w:trPr>
          <w:trHeight w:val="94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1887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DE0A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788F435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2B16A1E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1E4D807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E4650D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0A98FCE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2A2A58B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3599826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5D2C65C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0B4A9F7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48D4C6A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63C3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0659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9F0B28" w:rsidRPr="00BF6BF7" w14:paraId="2B50978F" w14:textId="77777777" w:rsidTr="009F0B2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07CF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D90B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ідходять аудиторії для проведення занять з дисципліни (кількість місць, видимість, чутність)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E3A6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2B51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9237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37C3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0B22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F652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83A9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DBB1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FD07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CBD3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3E75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E877E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4DD21E74" w14:textId="77777777" w:rsidTr="009F0B28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317E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AF4F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 достатньо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добре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обладнані аудиторії та кабінети для </w:t>
            </w: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проведення семінарів, лабораторних і практичних занять?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7418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93A4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E4B2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6E7D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8417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4A52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0E67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5610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7490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9F12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4596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78DA7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3C7CED6A" w14:textId="77777777" w:rsidTr="009F0B2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195E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DABB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F885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630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81,9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4A42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9002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61E2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0E0C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87E6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5C78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403C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1310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41C6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3785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45DA797C" w14:textId="77777777" w:rsidTr="009F0B28">
        <w:trPr>
          <w:trHeight w:val="189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DE57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Висновок про умови реалізації освітньої діяльності з освітній компоненти "Управління розвитком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ідприємницьких структур ": в аналізованій таблиці середнє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значення задоволеності здобувачів вищої освіти дорівнює 81,9%, що є позитивним результатом.</w:t>
            </w:r>
          </w:p>
        </w:tc>
      </w:tr>
      <w:tr w:rsidR="009F0B28" w:rsidRPr="00BF6BF7" w14:paraId="0C984EB9" w14:textId="77777777" w:rsidTr="009F0B2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67A1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86AD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3FA3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312C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4079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337A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C124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322F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0015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D249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1E3F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4E1A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EE8D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460D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F0B28" w:rsidRPr="00BF6BF7" w14:paraId="7E041C85" w14:textId="77777777" w:rsidTr="009F0B28">
        <w:trPr>
          <w:trHeight w:val="30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B532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Освітня компонента "Управління розвитком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ідприємницьких структур "</w:t>
            </w:r>
          </w:p>
        </w:tc>
      </w:tr>
      <w:tr w:rsidR="009F0B28" w:rsidRPr="00BF6BF7" w14:paraId="392E5C99" w14:textId="77777777" w:rsidTr="009F0B28">
        <w:trPr>
          <w:trHeight w:val="30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26F4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Блок питань 4 з 4 "Зацікавленість освітньою компонентою "Управління розвитком </w:t>
            </w:r>
            <w:proofErr w:type="gramStart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ідприємницьких структур "</w:t>
            </w:r>
          </w:p>
        </w:tc>
      </w:tr>
      <w:tr w:rsidR="009F0B28" w:rsidRPr="00BF6BF7" w14:paraId="6B555F74" w14:textId="77777777" w:rsidTr="009F0B28">
        <w:trPr>
          <w:trHeight w:val="94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31A1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CF39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Питання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058AD9A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14:paraId="3ACBB82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3465632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так, ніж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099899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0D411997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скоріше ні,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ніж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так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157F694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53F5D3AE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18C697B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15B7620F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3739A8B9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AA1C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DA16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9F0B28" w:rsidRPr="00BF6BF7" w14:paraId="7FA5285A" w14:textId="77777777" w:rsidTr="009F0B2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BD515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6EB5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 викликають інтерес теми, що вивчаються в рамках дисципліни?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5D4B2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D7A51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A647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D30C6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50C53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69150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176A4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13D7C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07198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2D33A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E070D" w14:textId="77777777" w:rsidR="009F0B28" w:rsidRPr="00BF6BF7" w:rsidRDefault="009F0B28" w:rsidP="00E3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1534A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F0B28" w:rsidRPr="00BF6BF7" w14:paraId="3FBB1D2A" w14:textId="77777777" w:rsidTr="009F0B2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092A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95DA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Середні значення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C74D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BF86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3666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9BCE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02E1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51CD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D3B5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7D01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5652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6227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4E42" w14:textId="77777777" w:rsidR="009F0B28" w:rsidRPr="00BF6BF7" w:rsidRDefault="009F0B28" w:rsidP="00E3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F684" w14:textId="77777777" w:rsidR="009F0B28" w:rsidRPr="00BF6BF7" w:rsidRDefault="009F0B28" w:rsidP="00E37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E37527" w:rsidRPr="00BF6BF7" w14:paraId="19C76767" w14:textId="77777777" w:rsidTr="009F0B28">
        <w:trPr>
          <w:trHeight w:val="189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ADBA" w14:textId="77777777" w:rsidR="00E37527" w:rsidRPr="00BF6BF7" w:rsidRDefault="00E37527" w:rsidP="00E37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Висновок про Зацікавленість освітньою компонентою  "Управління розвитком </w:t>
            </w:r>
            <w:proofErr w:type="gramStart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ідприємницьких структур": в аналізованій таблиці середнє значення </w:t>
            </w:r>
            <w:r w:rsidRPr="00BF6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задоволеності здобувачів вищої освіти дорівнює 83,3%, що є позитивним результатом.</w:t>
            </w:r>
          </w:p>
        </w:tc>
      </w:tr>
    </w:tbl>
    <w:p w14:paraId="11D6A20D" w14:textId="77777777" w:rsidR="009F0B28" w:rsidRPr="00BF6BF7" w:rsidRDefault="009F0B28" w:rsidP="009F0B28">
      <w:pPr>
        <w:rPr>
          <w:sz w:val="18"/>
          <w:szCs w:val="18"/>
        </w:rPr>
      </w:pPr>
    </w:p>
    <w:p w14:paraId="1AE9DF9F" w14:textId="77777777" w:rsidR="00ED2B56" w:rsidRPr="00177CA1" w:rsidRDefault="00ED2B56" w:rsidP="00ED2B56">
      <w:pPr>
        <w:spacing w:after="0" w:line="240" w:lineRule="auto"/>
        <w:ind w:firstLine="567"/>
        <w:jc w:val="both"/>
        <w:rPr>
          <w:highlight w:val="yellow"/>
          <w:lang w:val="uk-UA"/>
        </w:rPr>
      </w:pPr>
    </w:p>
    <w:p w14:paraId="51FBFD53" w14:textId="49CB4B67" w:rsidR="00AD0D05" w:rsidRPr="00E37527" w:rsidRDefault="00AD0D05" w:rsidP="00E37527">
      <w:pPr>
        <w:spacing w:after="0" w:line="240" w:lineRule="auto"/>
        <w:ind w:firstLine="567"/>
        <w:jc w:val="center"/>
        <w:rPr>
          <w:b/>
          <w:lang w:val="uk-UA"/>
        </w:rPr>
      </w:pPr>
      <w:r w:rsidRPr="00E37527">
        <w:rPr>
          <w:b/>
          <w:lang w:val="uk-UA"/>
        </w:rPr>
        <w:t>6. Моніторинг працевлаштованих випускників</w:t>
      </w:r>
    </w:p>
    <w:p w14:paraId="58D72D91" w14:textId="1664E33C" w:rsidR="00AD0D05" w:rsidRPr="00E37527" w:rsidRDefault="00284D95" w:rsidP="0013369A">
      <w:pPr>
        <w:spacing w:after="0" w:line="240" w:lineRule="auto"/>
        <w:ind w:firstLine="567"/>
        <w:jc w:val="both"/>
        <w:rPr>
          <w:rFonts w:cstheme="minorHAnsi"/>
          <w:lang w:val="uk-UA"/>
        </w:rPr>
      </w:pPr>
      <w:r w:rsidRPr="00E37527">
        <w:rPr>
          <w:rFonts w:cstheme="minorHAnsi"/>
          <w:lang w:val="uk-UA"/>
        </w:rPr>
        <w:t>Т</w:t>
      </w:r>
      <w:r w:rsidR="00AD0D05" w:rsidRPr="00E37527">
        <w:rPr>
          <w:rFonts w:cstheme="minorHAnsi"/>
          <w:lang w:val="uk-UA"/>
        </w:rPr>
        <w:t>радиційний моніторинг працевлаштованих випускників, який об’єднав респондентів 2020-2023 рр. випуску (рис. 6.1), при цьому, найбільший сегмент респондентів (15 осіб, 68,1 %) склали випускники 2023 року.</w:t>
      </w:r>
    </w:p>
    <w:p w14:paraId="19F1EA9D" w14:textId="666B90DD" w:rsidR="00AD0D05" w:rsidRPr="00177CA1" w:rsidRDefault="00A41FB8" w:rsidP="0013369A">
      <w:pPr>
        <w:spacing w:after="0" w:line="240" w:lineRule="auto"/>
        <w:jc w:val="center"/>
        <w:rPr>
          <w:rFonts w:cstheme="minorHAnsi"/>
          <w:highlight w:val="yellow"/>
          <w:lang w:val="uk-UA"/>
        </w:rPr>
      </w:pPr>
      <w:r w:rsidRPr="00177CA1">
        <w:rPr>
          <w:rFonts w:cstheme="minorHAnsi"/>
          <w:noProof/>
          <w:highlight w:val="yellow"/>
          <w:lang w:eastAsia="ru-RU"/>
        </w:rPr>
        <w:drawing>
          <wp:inline distT="0" distB="0" distL="0" distR="0" wp14:anchorId="5A87F82A" wp14:editId="6DB69813">
            <wp:extent cx="3204376" cy="1758543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495" cy="175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DB889" w14:textId="17F75881" w:rsidR="00AD0D05" w:rsidRPr="00E37527" w:rsidRDefault="00AD0D05" w:rsidP="0013369A">
      <w:pPr>
        <w:spacing w:after="0" w:line="240" w:lineRule="auto"/>
        <w:jc w:val="center"/>
        <w:rPr>
          <w:lang w:val="uk-UA"/>
        </w:rPr>
      </w:pPr>
      <w:r w:rsidRPr="00E37527">
        <w:rPr>
          <w:lang w:val="uk-UA"/>
        </w:rPr>
        <w:t>Рисунок 6.1 – Співвідношення респондентів за роками випуску</w:t>
      </w:r>
    </w:p>
    <w:p w14:paraId="250184D5" w14:textId="77777777" w:rsidR="00A41FB8" w:rsidRPr="00177CA1" w:rsidRDefault="00A41FB8" w:rsidP="0013369A">
      <w:pPr>
        <w:spacing w:after="0" w:line="240" w:lineRule="auto"/>
        <w:ind w:firstLine="567"/>
        <w:jc w:val="both"/>
        <w:rPr>
          <w:rFonts w:cstheme="minorHAnsi"/>
          <w:highlight w:val="yellow"/>
          <w:lang w:val="uk-UA"/>
        </w:rPr>
      </w:pPr>
    </w:p>
    <w:p w14:paraId="002CD0F9" w14:textId="376E3DB4" w:rsidR="00A41FB8" w:rsidRPr="00E37527" w:rsidRDefault="00284D95" w:rsidP="0013369A">
      <w:pPr>
        <w:spacing w:after="0" w:line="240" w:lineRule="auto"/>
        <w:ind w:firstLine="567"/>
        <w:jc w:val="both"/>
        <w:rPr>
          <w:rFonts w:cstheme="minorHAnsi"/>
          <w:lang w:val="uk-UA"/>
        </w:rPr>
      </w:pPr>
      <w:r w:rsidRPr="00E37527">
        <w:rPr>
          <w:rFonts w:cstheme="minorHAnsi"/>
          <w:lang w:val="uk-UA"/>
        </w:rPr>
        <w:t xml:space="preserve">Опитування показало, що </w:t>
      </w:r>
      <w:r w:rsidR="00A41FB8" w:rsidRPr="00E37527">
        <w:rPr>
          <w:rFonts w:cstheme="minorHAnsi"/>
          <w:lang w:val="uk-UA"/>
        </w:rPr>
        <w:t>54,5 % опитаних не мали труднощів при пошуку роботи після завершення навчання за освітньою програмою. Зайнятість випускників ОПП на ринку праці представлена на рис. 6.1.</w:t>
      </w:r>
    </w:p>
    <w:p w14:paraId="4FE39CA3" w14:textId="77777777" w:rsidR="00A41FB8" w:rsidRPr="00E37527" w:rsidRDefault="00A41FB8" w:rsidP="0013369A">
      <w:pPr>
        <w:spacing w:after="0" w:line="240" w:lineRule="auto"/>
        <w:ind w:firstLine="567"/>
        <w:jc w:val="both"/>
        <w:rPr>
          <w:rFonts w:cstheme="minorHAnsi"/>
          <w:lang w:val="uk-UA"/>
        </w:rPr>
      </w:pPr>
    </w:p>
    <w:p w14:paraId="69FCFD18" w14:textId="3895BF91" w:rsidR="00A41FB8" w:rsidRPr="00177CA1" w:rsidRDefault="00A41FB8" w:rsidP="0013369A">
      <w:pPr>
        <w:spacing w:after="0" w:line="240" w:lineRule="auto"/>
        <w:jc w:val="center"/>
        <w:rPr>
          <w:rFonts w:cstheme="minorHAnsi"/>
          <w:highlight w:val="yellow"/>
          <w:lang w:val="uk-UA"/>
        </w:rPr>
      </w:pPr>
      <w:r w:rsidRPr="00177CA1">
        <w:rPr>
          <w:rFonts w:cstheme="minorHAnsi"/>
          <w:noProof/>
          <w:highlight w:val="yellow"/>
          <w:lang w:eastAsia="ru-RU"/>
        </w:rPr>
        <w:lastRenderedPageBreak/>
        <w:drawing>
          <wp:inline distT="0" distB="0" distL="0" distR="0" wp14:anchorId="4115E5EE" wp14:editId="344A5D3D">
            <wp:extent cx="4379559" cy="1701579"/>
            <wp:effectExtent l="0" t="0" r="254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25" cy="170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2466D" w14:textId="3E185A38" w:rsidR="00A41FB8" w:rsidRDefault="00A41FB8" w:rsidP="0013369A">
      <w:pPr>
        <w:spacing w:after="0" w:line="240" w:lineRule="auto"/>
        <w:jc w:val="center"/>
        <w:rPr>
          <w:lang w:val="uk-UA"/>
        </w:rPr>
      </w:pPr>
      <w:r w:rsidRPr="00E37527">
        <w:rPr>
          <w:lang w:val="uk-UA"/>
        </w:rPr>
        <w:t>Рисунок 6.2 – Працевлаштування випускників ОПП</w:t>
      </w:r>
    </w:p>
    <w:p w14:paraId="28C2B956" w14:textId="77777777" w:rsidR="00E37527" w:rsidRDefault="00E37527" w:rsidP="0013369A">
      <w:pPr>
        <w:spacing w:after="0" w:line="240" w:lineRule="auto"/>
        <w:jc w:val="center"/>
        <w:rPr>
          <w:lang w:val="uk-UA"/>
        </w:rPr>
      </w:pPr>
      <w:bookmarkStart w:id="0" w:name="_GoBack"/>
      <w:bookmarkEnd w:id="0"/>
    </w:p>
    <w:p w14:paraId="317F141E" w14:textId="7293C933" w:rsidR="00E37527" w:rsidRPr="00E37527" w:rsidRDefault="00E37527" w:rsidP="0013369A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 xml:space="preserve"> Висновки</w:t>
      </w:r>
    </w:p>
    <w:p w14:paraId="31864DEF" w14:textId="77777777" w:rsidR="00E37527" w:rsidRPr="00E37527" w:rsidRDefault="00E37527" w:rsidP="00E37527">
      <w:pPr>
        <w:spacing w:after="0" w:line="240" w:lineRule="auto"/>
        <w:ind w:firstLine="567"/>
        <w:jc w:val="both"/>
        <w:rPr>
          <w:rFonts w:cstheme="minorHAnsi"/>
          <w:lang w:val="uk-UA"/>
        </w:rPr>
      </w:pPr>
      <w:r w:rsidRPr="00BF6BF7">
        <w:rPr>
          <w:rFonts w:cstheme="minorHAnsi"/>
          <w:lang w:val="uk-UA"/>
        </w:rPr>
        <w:t>Актуальність отриманих знань і навичок:</w:t>
      </w:r>
      <w:r w:rsidRPr="00E37527">
        <w:rPr>
          <w:rFonts w:cstheme="minorHAnsi"/>
          <w:lang w:val="uk-UA"/>
        </w:rPr>
        <w:t xml:space="preserve"> Бі</w:t>
      </w:r>
      <w:r w:rsidRPr="00BF6BF7">
        <w:rPr>
          <w:rFonts w:cstheme="minorHAnsi"/>
          <w:lang w:val="uk-UA"/>
        </w:rPr>
        <w:t xml:space="preserve">льшість випускників відзначили, що здобуті під час навчання знання є релевантними та застосовними в їхній професійній діяльності. Це </w:t>
      </w:r>
      <w:proofErr w:type="gramStart"/>
      <w:r w:rsidRPr="00BF6BF7">
        <w:rPr>
          <w:rFonts w:cstheme="minorHAnsi"/>
          <w:lang w:val="uk-UA"/>
        </w:rPr>
        <w:t>св</w:t>
      </w:r>
      <w:proofErr w:type="gramEnd"/>
      <w:r w:rsidRPr="00BF6BF7">
        <w:rPr>
          <w:rFonts w:cstheme="minorHAnsi"/>
          <w:lang w:val="uk-UA"/>
        </w:rPr>
        <w:t>ідчить про ефективну адаптацію програми до потреб сучасного ринку праці.</w:t>
      </w:r>
      <w:r w:rsidRPr="00E37527">
        <w:rPr>
          <w:rFonts w:cstheme="minorHAnsi"/>
          <w:lang w:val="uk-UA"/>
        </w:rPr>
        <w:t xml:space="preserve"> </w:t>
      </w:r>
    </w:p>
    <w:p w14:paraId="08689E1F" w14:textId="77777777" w:rsidR="00E37527" w:rsidRPr="00E37527" w:rsidRDefault="00E37527" w:rsidP="00E37527">
      <w:pPr>
        <w:spacing w:after="0" w:line="240" w:lineRule="auto"/>
        <w:ind w:firstLine="567"/>
        <w:jc w:val="both"/>
        <w:rPr>
          <w:rFonts w:cstheme="minorHAnsi"/>
          <w:lang w:val="uk-UA"/>
        </w:rPr>
      </w:pPr>
      <w:r w:rsidRPr="00BF6BF7">
        <w:rPr>
          <w:rFonts w:cstheme="minorHAnsi"/>
          <w:lang w:val="uk-UA"/>
        </w:rPr>
        <w:t>Практична підготовка:</w:t>
      </w:r>
      <w:r w:rsidRPr="00E37527">
        <w:rPr>
          <w:rFonts w:cstheme="minorHAnsi"/>
          <w:lang w:val="uk-UA"/>
        </w:rPr>
        <w:t xml:space="preserve"> в</w:t>
      </w:r>
      <w:r w:rsidRPr="00BF6BF7">
        <w:rPr>
          <w:rFonts w:cstheme="minorHAnsi"/>
          <w:lang w:val="uk-UA"/>
        </w:rPr>
        <w:t>ипускники позитивно оцінили наявність практикоорієнтованих дисциплін, проєктної діяльності та співпраці з реальним бізнесом, що підвищує конкурентоспроможність на ринку праці.</w:t>
      </w:r>
    </w:p>
    <w:p w14:paraId="3E4CF371" w14:textId="08D32F1A" w:rsidR="00E37527" w:rsidRPr="00E37527" w:rsidRDefault="00E37527" w:rsidP="00E37527">
      <w:pPr>
        <w:spacing w:after="0" w:line="240" w:lineRule="auto"/>
        <w:ind w:firstLine="567"/>
        <w:jc w:val="both"/>
        <w:rPr>
          <w:rFonts w:cstheme="minorHAnsi"/>
          <w:lang w:val="uk-UA"/>
        </w:rPr>
      </w:pPr>
      <w:r w:rsidRPr="00BF6BF7">
        <w:rPr>
          <w:rFonts w:cstheme="minorHAnsi"/>
          <w:lang w:val="uk-UA"/>
        </w:rPr>
        <w:t>Компетентності та м’які навички:</w:t>
      </w:r>
      <w:r>
        <w:rPr>
          <w:rFonts w:cstheme="minorHAnsi"/>
          <w:lang w:val="uk-UA"/>
        </w:rPr>
        <w:t xml:space="preserve"> </w:t>
      </w:r>
      <w:r w:rsidRPr="00BF6BF7">
        <w:rPr>
          <w:rFonts w:cstheme="minorHAnsi"/>
          <w:lang w:val="uk-UA"/>
        </w:rPr>
        <w:t>Учасники опитування підкреслили важливість розвитку комунікативних, управлінських і підприємницьких навичок під час навчання, що допомогло їм успішно інтегруватися у професійне середовище.</w:t>
      </w:r>
    </w:p>
    <w:p w14:paraId="29240EEB" w14:textId="77777777" w:rsidR="00E37527" w:rsidRPr="00E37527" w:rsidRDefault="00E37527" w:rsidP="00E37527">
      <w:pPr>
        <w:spacing w:after="0" w:line="240" w:lineRule="auto"/>
        <w:ind w:firstLine="567"/>
        <w:jc w:val="both"/>
        <w:rPr>
          <w:rFonts w:cstheme="minorHAnsi"/>
          <w:lang w:val="uk-UA"/>
        </w:rPr>
      </w:pPr>
      <w:r w:rsidRPr="00BF6BF7">
        <w:rPr>
          <w:rFonts w:cstheme="minorHAnsi"/>
          <w:lang w:val="uk-UA"/>
        </w:rPr>
        <w:t>Рекомендації випускників:</w:t>
      </w:r>
      <w:r w:rsidRPr="00E37527">
        <w:rPr>
          <w:rFonts w:cstheme="minorHAnsi"/>
          <w:lang w:val="uk-UA"/>
        </w:rPr>
        <w:t xml:space="preserve"> </w:t>
      </w:r>
      <w:r w:rsidRPr="00BF6BF7">
        <w:rPr>
          <w:rFonts w:cstheme="minorHAnsi"/>
          <w:lang w:val="uk-UA"/>
        </w:rPr>
        <w:t>Залучати більше експертів-практиків до освітнього процесу.</w:t>
      </w:r>
    </w:p>
    <w:p w14:paraId="675D112E" w14:textId="77777777" w:rsidR="00E37527" w:rsidRPr="00E37527" w:rsidRDefault="00E37527" w:rsidP="00E37527">
      <w:pPr>
        <w:spacing w:after="0" w:line="240" w:lineRule="auto"/>
        <w:ind w:firstLine="567"/>
        <w:jc w:val="both"/>
        <w:rPr>
          <w:rFonts w:cstheme="minorHAnsi"/>
          <w:lang w:val="uk-UA"/>
        </w:rPr>
      </w:pPr>
      <w:r w:rsidRPr="00BF6BF7">
        <w:rPr>
          <w:rFonts w:cstheme="minorHAnsi"/>
          <w:lang w:val="uk-UA"/>
        </w:rPr>
        <w:t xml:space="preserve">Розширити можливості стажувань та практик </w:t>
      </w:r>
      <w:proofErr w:type="gramStart"/>
      <w:r w:rsidRPr="00BF6BF7">
        <w:rPr>
          <w:rFonts w:cstheme="minorHAnsi"/>
          <w:lang w:val="uk-UA"/>
        </w:rPr>
        <w:t>у</w:t>
      </w:r>
      <w:proofErr w:type="gramEnd"/>
      <w:r w:rsidRPr="00BF6BF7">
        <w:rPr>
          <w:rFonts w:cstheme="minorHAnsi"/>
          <w:lang w:val="uk-UA"/>
        </w:rPr>
        <w:t xml:space="preserve"> бізнес-структурах.</w:t>
      </w:r>
    </w:p>
    <w:p w14:paraId="7868FA4F" w14:textId="77777777" w:rsidR="00E37527" w:rsidRPr="00E37527" w:rsidRDefault="00E37527" w:rsidP="00E37527">
      <w:pPr>
        <w:spacing w:after="0" w:line="240" w:lineRule="auto"/>
        <w:ind w:firstLine="567"/>
        <w:jc w:val="both"/>
        <w:rPr>
          <w:rFonts w:cstheme="minorHAnsi"/>
          <w:lang w:val="uk-UA"/>
        </w:rPr>
      </w:pPr>
      <w:r w:rsidRPr="00BF6BF7">
        <w:rPr>
          <w:rFonts w:cstheme="minorHAnsi"/>
          <w:lang w:val="uk-UA"/>
        </w:rPr>
        <w:t>Оновлювати змі</w:t>
      </w:r>
      <w:proofErr w:type="gramStart"/>
      <w:r w:rsidRPr="00BF6BF7">
        <w:rPr>
          <w:rFonts w:cstheme="minorHAnsi"/>
          <w:lang w:val="uk-UA"/>
        </w:rPr>
        <w:t>ст</w:t>
      </w:r>
      <w:proofErr w:type="gramEnd"/>
      <w:r w:rsidRPr="00BF6BF7">
        <w:rPr>
          <w:rFonts w:cstheme="minorHAnsi"/>
          <w:lang w:val="uk-UA"/>
        </w:rPr>
        <w:t xml:space="preserve"> програм відповідно до змін у сфері інновацій та підприємництва.</w:t>
      </w:r>
    </w:p>
    <w:p w14:paraId="6E57986A" w14:textId="77777777" w:rsidR="00E37527" w:rsidRPr="00E37527" w:rsidRDefault="00E37527" w:rsidP="00E37527">
      <w:pPr>
        <w:spacing w:after="0" w:line="240" w:lineRule="auto"/>
        <w:ind w:firstLine="567"/>
        <w:jc w:val="both"/>
        <w:rPr>
          <w:rFonts w:cstheme="minorHAnsi"/>
          <w:lang w:val="uk-UA"/>
        </w:rPr>
      </w:pPr>
      <w:r w:rsidRPr="00BF6BF7">
        <w:rPr>
          <w:rFonts w:cstheme="minorHAnsi"/>
          <w:lang w:val="uk-UA"/>
        </w:rPr>
        <w:t>Загальний висновок:</w:t>
      </w:r>
      <w:r w:rsidRPr="00E37527">
        <w:rPr>
          <w:rFonts w:cstheme="minorHAnsi"/>
          <w:lang w:val="uk-UA"/>
        </w:rPr>
        <w:t xml:space="preserve"> </w:t>
      </w:r>
      <w:r w:rsidRPr="00BF6BF7">
        <w:rPr>
          <w:rFonts w:cstheme="minorHAnsi"/>
          <w:lang w:val="uk-UA"/>
        </w:rPr>
        <w:t xml:space="preserve">Опитування дало змогу виявити позитивну оцінку випускниками якості освіти, водночас визначивши напрямки для подальшого вдосконалення змісту та форм подання навчального </w:t>
      </w:r>
      <w:proofErr w:type="gramStart"/>
      <w:r w:rsidRPr="00BF6BF7">
        <w:rPr>
          <w:rFonts w:cstheme="minorHAnsi"/>
          <w:lang w:val="uk-UA"/>
        </w:rPr>
        <w:t>матер</w:t>
      </w:r>
      <w:proofErr w:type="gramEnd"/>
      <w:r w:rsidRPr="00BF6BF7">
        <w:rPr>
          <w:rFonts w:cstheme="minorHAnsi"/>
          <w:lang w:val="uk-UA"/>
        </w:rPr>
        <w:t xml:space="preserve">іалу. Отримані результати стануть основою для розвитку освітньої програми відповідно до </w:t>
      </w:r>
      <w:proofErr w:type="gramStart"/>
      <w:r w:rsidRPr="00BF6BF7">
        <w:rPr>
          <w:rFonts w:cstheme="minorHAnsi"/>
          <w:lang w:val="uk-UA"/>
        </w:rPr>
        <w:t>запит</w:t>
      </w:r>
      <w:proofErr w:type="gramEnd"/>
      <w:r w:rsidRPr="00BF6BF7">
        <w:rPr>
          <w:rFonts w:cstheme="minorHAnsi"/>
          <w:lang w:val="uk-UA"/>
        </w:rPr>
        <w:t>ів ринку праці.</w:t>
      </w:r>
    </w:p>
    <w:p w14:paraId="5E2E8664" w14:textId="49CDDF37" w:rsidR="00A211F3" w:rsidRDefault="00A211F3" w:rsidP="0013369A">
      <w:pPr>
        <w:spacing w:after="0" w:line="240" w:lineRule="auto"/>
        <w:ind w:firstLine="567"/>
        <w:jc w:val="both"/>
        <w:rPr>
          <w:rFonts w:cstheme="minorHAnsi"/>
          <w:lang w:val="uk-UA"/>
        </w:rPr>
      </w:pPr>
      <w:r w:rsidRPr="00E37527">
        <w:rPr>
          <w:rFonts w:cstheme="minorHAnsi"/>
          <w:lang w:val="uk-UA"/>
        </w:rPr>
        <w:t>Про регулярність опитування упродовж навчання на ОПП заявили 95,5 % респондентів.</w:t>
      </w:r>
    </w:p>
    <w:p w14:paraId="68326CDE" w14:textId="77777777" w:rsidR="00E37527" w:rsidRDefault="00E37527" w:rsidP="0013369A">
      <w:pPr>
        <w:spacing w:after="0" w:line="240" w:lineRule="auto"/>
        <w:ind w:firstLine="567"/>
        <w:jc w:val="both"/>
        <w:rPr>
          <w:rFonts w:cstheme="minorHAnsi"/>
          <w:lang w:val="uk-UA"/>
        </w:rPr>
      </w:pPr>
    </w:p>
    <w:sectPr w:rsidR="00E37527" w:rsidSect="00754EAD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8C3"/>
    <w:multiLevelType w:val="hybridMultilevel"/>
    <w:tmpl w:val="9AC05D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408B1"/>
    <w:multiLevelType w:val="hybridMultilevel"/>
    <w:tmpl w:val="92BA6D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6E35"/>
    <w:multiLevelType w:val="hybridMultilevel"/>
    <w:tmpl w:val="92BA6D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D14B9"/>
    <w:multiLevelType w:val="hybridMultilevel"/>
    <w:tmpl w:val="92BA6D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1531D"/>
    <w:multiLevelType w:val="hybridMultilevel"/>
    <w:tmpl w:val="9AC05D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B76E8"/>
    <w:multiLevelType w:val="hybridMultilevel"/>
    <w:tmpl w:val="92BA6D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9109A"/>
    <w:multiLevelType w:val="hybridMultilevel"/>
    <w:tmpl w:val="92BA6D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B6F65"/>
    <w:multiLevelType w:val="hybridMultilevel"/>
    <w:tmpl w:val="9AC05D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34399"/>
    <w:multiLevelType w:val="hybridMultilevel"/>
    <w:tmpl w:val="9AC05D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D42D4"/>
    <w:multiLevelType w:val="hybridMultilevel"/>
    <w:tmpl w:val="9AC05D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54C57"/>
    <w:multiLevelType w:val="hybridMultilevel"/>
    <w:tmpl w:val="9AC05D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A9"/>
    <w:rsid w:val="00007FC9"/>
    <w:rsid w:val="0003468F"/>
    <w:rsid w:val="00037B65"/>
    <w:rsid w:val="000426AE"/>
    <w:rsid w:val="000436F9"/>
    <w:rsid w:val="00050821"/>
    <w:rsid w:val="00057E93"/>
    <w:rsid w:val="000627E0"/>
    <w:rsid w:val="00063342"/>
    <w:rsid w:val="0009509D"/>
    <w:rsid w:val="000956FA"/>
    <w:rsid w:val="000B1479"/>
    <w:rsid w:val="000B61B7"/>
    <w:rsid w:val="000B7A9E"/>
    <w:rsid w:val="000D03F2"/>
    <w:rsid w:val="000D2B1D"/>
    <w:rsid w:val="000D6858"/>
    <w:rsid w:val="000F1703"/>
    <w:rsid w:val="000F6F36"/>
    <w:rsid w:val="00110F13"/>
    <w:rsid w:val="0011736D"/>
    <w:rsid w:val="0012777E"/>
    <w:rsid w:val="0013369A"/>
    <w:rsid w:val="00137BB7"/>
    <w:rsid w:val="00143376"/>
    <w:rsid w:val="0016228F"/>
    <w:rsid w:val="00172E4F"/>
    <w:rsid w:val="001746E0"/>
    <w:rsid w:val="00177CA1"/>
    <w:rsid w:val="00180942"/>
    <w:rsid w:val="00185634"/>
    <w:rsid w:val="00187F5D"/>
    <w:rsid w:val="00190B81"/>
    <w:rsid w:val="00191723"/>
    <w:rsid w:val="001A3219"/>
    <w:rsid w:val="001A74ED"/>
    <w:rsid w:val="001B190D"/>
    <w:rsid w:val="001C711E"/>
    <w:rsid w:val="00212A03"/>
    <w:rsid w:val="0021474D"/>
    <w:rsid w:val="00216C7D"/>
    <w:rsid w:val="00217B71"/>
    <w:rsid w:val="00245238"/>
    <w:rsid w:val="00250328"/>
    <w:rsid w:val="00275B83"/>
    <w:rsid w:val="00284D95"/>
    <w:rsid w:val="00287F41"/>
    <w:rsid w:val="00295ED9"/>
    <w:rsid w:val="002A4F5D"/>
    <w:rsid w:val="002D1F5E"/>
    <w:rsid w:val="00311417"/>
    <w:rsid w:val="00314C8E"/>
    <w:rsid w:val="00320CED"/>
    <w:rsid w:val="003214E5"/>
    <w:rsid w:val="00324568"/>
    <w:rsid w:val="00340EE8"/>
    <w:rsid w:val="00344EA8"/>
    <w:rsid w:val="00352EAE"/>
    <w:rsid w:val="00373B85"/>
    <w:rsid w:val="00377698"/>
    <w:rsid w:val="00382B9A"/>
    <w:rsid w:val="0038694B"/>
    <w:rsid w:val="003959BB"/>
    <w:rsid w:val="003A17B6"/>
    <w:rsid w:val="003B1477"/>
    <w:rsid w:val="003B5BD0"/>
    <w:rsid w:val="003C1329"/>
    <w:rsid w:val="003C1DE5"/>
    <w:rsid w:val="003E7E4F"/>
    <w:rsid w:val="00402127"/>
    <w:rsid w:val="0041583D"/>
    <w:rsid w:val="004239A0"/>
    <w:rsid w:val="00425650"/>
    <w:rsid w:val="00426E8A"/>
    <w:rsid w:val="00430E8E"/>
    <w:rsid w:val="004510E8"/>
    <w:rsid w:val="00467869"/>
    <w:rsid w:val="00480251"/>
    <w:rsid w:val="00481F85"/>
    <w:rsid w:val="004B55B5"/>
    <w:rsid w:val="004C60EE"/>
    <w:rsid w:val="004D5EE5"/>
    <w:rsid w:val="004E7474"/>
    <w:rsid w:val="0050298F"/>
    <w:rsid w:val="00503E0B"/>
    <w:rsid w:val="00533DB8"/>
    <w:rsid w:val="00555DBF"/>
    <w:rsid w:val="00557110"/>
    <w:rsid w:val="0056514D"/>
    <w:rsid w:val="00595092"/>
    <w:rsid w:val="005A203D"/>
    <w:rsid w:val="005A2C39"/>
    <w:rsid w:val="005A577E"/>
    <w:rsid w:val="005B0482"/>
    <w:rsid w:val="005B2C2C"/>
    <w:rsid w:val="005C524C"/>
    <w:rsid w:val="005D0149"/>
    <w:rsid w:val="005D530E"/>
    <w:rsid w:val="005D67CF"/>
    <w:rsid w:val="005D70A2"/>
    <w:rsid w:val="005E47D2"/>
    <w:rsid w:val="00604787"/>
    <w:rsid w:val="0061200F"/>
    <w:rsid w:val="00617908"/>
    <w:rsid w:val="006203ED"/>
    <w:rsid w:val="00620AA9"/>
    <w:rsid w:val="006422A3"/>
    <w:rsid w:val="00646366"/>
    <w:rsid w:val="0065229A"/>
    <w:rsid w:val="0065772E"/>
    <w:rsid w:val="006619CD"/>
    <w:rsid w:val="00664AA2"/>
    <w:rsid w:val="00664FCE"/>
    <w:rsid w:val="00676243"/>
    <w:rsid w:val="00686102"/>
    <w:rsid w:val="006866D9"/>
    <w:rsid w:val="00690F45"/>
    <w:rsid w:val="00695F51"/>
    <w:rsid w:val="006979B7"/>
    <w:rsid w:val="006A2FCE"/>
    <w:rsid w:val="006B257E"/>
    <w:rsid w:val="006B4C00"/>
    <w:rsid w:val="006B5BC5"/>
    <w:rsid w:val="006C5FE8"/>
    <w:rsid w:val="006D4390"/>
    <w:rsid w:val="006F5AE5"/>
    <w:rsid w:val="006F6FF3"/>
    <w:rsid w:val="0070475D"/>
    <w:rsid w:val="007130C9"/>
    <w:rsid w:val="007205BA"/>
    <w:rsid w:val="00723B03"/>
    <w:rsid w:val="00742FBD"/>
    <w:rsid w:val="00750A5A"/>
    <w:rsid w:val="00754EAD"/>
    <w:rsid w:val="00756050"/>
    <w:rsid w:val="00760069"/>
    <w:rsid w:val="007775A5"/>
    <w:rsid w:val="0078622F"/>
    <w:rsid w:val="007874D4"/>
    <w:rsid w:val="0079067F"/>
    <w:rsid w:val="007A0C64"/>
    <w:rsid w:val="007A2E0D"/>
    <w:rsid w:val="007A7622"/>
    <w:rsid w:val="007B2B87"/>
    <w:rsid w:val="007B3158"/>
    <w:rsid w:val="007C1517"/>
    <w:rsid w:val="007C4093"/>
    <w:rsid w:val="007C5E4D"/>
    <w:rsid w:val="007D2E29"/>
    <w:rsid w:val="007F1FBB"/>
    <w:rsid w:val="007F290D"/>
    <w:rsid w:val="007F6278"/>
    <w:rsid w:val="00806B17"/>
    <w:rsid w:val="0081078D"/>
    <w:rsid w:val="008121E7"/>
    <w:rsid w:val="00813B13"/>
    <w:rsid w:val="008146AA"/>
    <w:rsid w:val="00830972"/>
    <w:rsid w:val="00840CA0"/>
    <w:rsid w:val="008438F3"/>
    <w:rsid w:val="00847943"/>
    <w:rsid w:val="008605CB"/>
    <w:rsid w:val="00861F0E"/>
    <w:rsid w:val="0087269E"/>
    <w:rsid w:val="008754F3"/>
    <w:rsid w:val="0087691B"/>
    <w:rsid w:val="008809B4"/>
    <w:rsid w:val="008946BC"/>
    <w:rsid w:val="008A19DA"/>
    <w:rsid w:val="008A2649"/>
    <w:rsid w:val="008B240D"/>
    <w:rsid w:val="008B45EC"/>
    <w:rsid w:val="008B75E7"/>
    <w:rsid w:val="008B7D94"/>
    <w:rsid w:val="008D4152"/>
    <w:rsid w:val="008E0E04"/>
    <w:rsid w:val="008E3E88"/>
    <w:rsid w:val="008E6B8C"/>
    <w:rsid w:val="008F1BAD"/>
    <w:rsid w:val="008F5FB8"/>
    <w:rsid w:val="008F7821"/>
    <w:rsid w:val="0090076F"/>
    <w:rsid w:val="00900DD6"/>
    <w:rsid w:val="009063F2"/>
    <w:rsid w:val="00912A28"/>
    <w:rsid w:val="009152DB"/>
    <w:rsid w:val="00915362"/>
    <w:rsid w:val="00921DC0"/>
    <w:rsid w:val="00927F81"/>
    <w:rsid w:val="00931F91"/>
    <w:rsid w:val="00932D49"/>
    <w:rsid w:val="00947716"/>
    <w:rsid w:val="00952630"/>
    <w:rsid w:val="00960B4D"/>
    <w:rsid w:val="00963988"/>
    <w:rsid w:val="009745D8"/>
    <w:rsid w:val="00974879"/>
    <w:rsid w:val="009774E1"/>
    <w:rsid w:val="00977D25"/>
    <w:rsid w:val="00983A0A"/>
    <w:rsid w:val="00984647"/>
    <w:rsid w:val="00985237"/>
    <w:rsid w:val="009A4534"/>
    <w:rsid w:val="009C152B"/>
    <w:rsid w:val="009D5599"/>
    <w:rsid w:val="009D6BBE"/>
    <w:rsid w:val="009E0E99"/>
    <w:rsid w:val="009F0B28"/>
    <w:rsid w:val="009F78A7"/>
    <w:rsid w:val="00A0037A"/>
    <w:rsid w:val="00A14EBA"/>
    <w:rsid w:val="00A211F3"/>
    <w:rsid w:val="00A26632"/>
    <w:rsid w:val="00A272B9"/>
    <w:rsid w:val="00A30EE7"/>
    <w:rsid w:val="00A32616"/>
    <w:rsid w:val="00A41757"/>
    <w:rsid w:val="00A41FB8"/>
    <w:rsid w:val="00A508E2"/>
    <w:rsid w:val="00A70B2E"/>
    <w:rsid w:val="00A746ED"/>
    <w:rsid w:val="00A75BE3"/>
    <w:rsid w:val="00A80D8B"/>
    <w:rsid w:val="00A83FAA"/>
    <w:rsid w:val="00A863C4"/>
    <w:rsid w:val="00AA380B"/>
    <w:rsid w:val="00AB32D2"/>
    <w:rsid w:val="00AB4361"/>
    <w:rsid w:val="00AB7927"/>
    <w:rsid w:val="00AC3612"/>
    <w:rsid w:val="00AC6D55"/>
    <w:rsid w:val="00AD0D05"/>
    <w:rsid w:val="00AD3540"/>
    <w:rsid w:val="00AD5DFA"/>
    <w:rsid w:val="00AD5F5C"/>
    <w:rsid w:val="00AE13CA"/>
    <w:rsid w:val="00AE6262"/>
    <w:rsid w:val="00AF78C4"/>
    <w:rsid w:val="00B06A82"/>
    <w:rsid w:val="00B12A99"/>
    <w:rsid w:val="00B15C0C"/>
    <w:rsid w:val="00B17382"/>
    <w:rsid w:val="00B3683B"/>
    <w:rsid w:val="00B415CD"/>
    <w:rsid w:val="00B4425A"/>
    <w:rsid w:val="00BA05DF"/>
    <w:rsid w:val="00BA1DBC"/>
    <w:rsid w:val="00BA540E"/>
    <w:rsid w:val="00BA62A5"/>
    <w:rsid w:val="00BC2BC4"/>
    <w:rsid w:val="00BE1831"/>
    <w:rsid w:val="00BF41B6"/>
    <w:rsid w:val="00BF4814"/>
    <w:rsid w:val="00C00489"/>
    <w:rsid w:val="00C04F7F"/>
    <w:rsid w:val="00C07C91"/>
    <w:rsid w:val="00C13E89"/>
    <w:rsid w:val="00C16BE7"/>
    <w:rsid w:val="00C20300"/>
    <w:rsid w:val="00C37BE5"/>
    <w:rsid w:val="00C37D27"/>
    <w:rsid w:val="00C4143B"/>
    <w:rsid w:val="00C52F5B"/>
    <w:rsid w:val="00C614A9"/>
    <w:rsid w:val="00C65FD0"/>
    <w:rsid w:val="00C7251E"/>
    <w:rsid w:val="00C73FEA"/>
    <w:rsid w:val="00C749D7"/>
    <w:rsid w:val="00C758B3"/>
    <w:rsid w:val="00C80CE9"/>
    <w:rsid w:val="00CA4581"/>
    <w:rsid w:val="00CB10AF"/>
    <w:rsid w:val="00CC1D16"/>
    <w:rsid w:val="00CD22B6"/>
    <w:rsid w:val="00CD7385"/>
    <w:rsid w:val="00CF15F1"/>
    <w:rsid w:val="00D03018"/>
    <w:rsid w:val="00D1294C"/>
    <w:rsid w:val="00D20FC3"/>
    <w:rsid w:val="00D222C3"/>
    <w:rsid w:val="00D26921"/>
    <w:rsid w:val="00D27D04"/>
    <w:rsid w:val="00D34A2F"/>
    <w:rsid w:val="00D36153"/>
    <w:rsid w:val="00D46D31"/>
    <w:rsid w:val="00D503DA"/>
    <w:rsid w:val="00D542A6"/>
    <w:rsid w:val="00D60B0C"/>
    <w:rsid w:val="00D65426"/>
    <w:rsid w:val="00D81977"/>
    <w:rsid w:val="00D81AD6"/>
    <w:rsid w:val="00D951C5"/>
    <w:rsid w:val="00DB2F41"/>
    <w:rsid w:val="00DB3A4F"/>
    <w:rsid w:val="00DC3A9E"/>
    <w:rsid w:val="00DC6ECC"/>
    <w:rsid w:val="00DD0EA3"/>
    <w:rsid w:val="00DD59E4"/>
    <w:rsid w:val="00DE269B"/>
    <w:rsid w:val="00DE5797"/>
    <w:rsid w:val="00E045FC"/>
    <w:rsid w:val="00E04E31"/>
    <w:rsid w:val="00E061F8"/>
    <w:rsid w:val="00E1126E"/>
    <w:rsid w:val="00E2499B"/>
    <w:rsid w:val="00E27601"/>
    <w:rsid w:val="00E3565C"/>
    <w:rsid w:val="00E35FEB"/>
    <w:rsid w:val="00E37527"/>
    <w:rsid w:val="00E42423"/>
    <w:rsid w:val="00E4281F"/>
    <w:rsid w:val="00E43D86"/>
    <w:rsid w:val="00E50297"/>
    <w:rsid w:val="00E57777"/>
    <w:rsid w:val="00E62004"/>
    <w:rsid w:val="00E644A8"/>
    <w:rsid w:val="00E85B35"/>
    <w:rsid w:val="00E87DD8"/>
    <w:rsid w:val="00E93E59"/>
    <w:rsid w:val="00E93E76"/>
    <w:rsid w:val="00EA73E4"/>
    <w:rsid w:val="00EB7565"/>
    <w:rsid w:val="00ED2B56"/>
    <w:rsid w:val="00EF2E32"/>
    <w:rsid w:val="00EF4ED0"/>
    <w:rsid w:val="00F11CD7"/>
    <w:rsid w:val="00F144C8"/>
    <w:rsid w:val="00F3314C"/>
    <w:rsid w:val="00F42E0C"/>
    <w:rsid w:val="00F5277E"/>
    <w:rsid w:val="00F53B7B"/>
    <w:rsid w:val="00F54D2C"/>
    <w:rsid w:val="00F61F4A"/>
    <w:rsid w:val="00F677CE"/>
    <w:rsid w:val="00F70BA2"/>
    <w:rsid w:val="00F76DF5"/>
    <w:rsid w:val="00FA1A4D"/>
    <w:rsid w:val="00FA5460"/>
    <w:rsid w:val="00FB7E57"/>
    <w:rsid w:val="00FC54D8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5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39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0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E9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11CD7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960B4D"/>
    <w:pPr>
      <w:spacing w:after="0" w:line="240" w:lineRule="auto"/>
    </w:pPr>
    <w:rPr>
      <w:rFonts w:ascii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5277E"/>
  </w:style>
  <w:style w:type="character" w:styleId="a8">
    <w:name w:val="FollowedHyperlink"/>
    <w:uiPriority w:val="99"/>
    <w:semiHidden/>
    <w:unhideWhenUsed/>
    <w:rsid w:val="00F5277E"/>
    <w:rPr>
      <w:color w:val="1155CC"/>
      <w:u w:val="single"/>
    </w:rPr>
  </w:style>
  <w:style w:type="paragraph" w:customStyle="1" w:styleId="font5">
    <w:name w:val="font5"/>
    <w:basedOn w:val="a"/>
    <w:rsid w:val="00F5277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F5277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5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52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527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527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B0F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27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27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527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527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527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527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A9DB" w:fill="8EA9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52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527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277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277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277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277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2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5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5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527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5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5277E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527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527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527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F0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39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0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E9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11CD7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960B4D"/>
    <w:pPr>
      <w:spacing w:after="0" w:line="240" w:lineRule="auto"/>
    </w:pPr>
    <w:rPr>
      <w:rFonts w:ascii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5277E"/>
  </w:style>
  <w:style w:type="character" w:styleId="a8">
    <w:name w:val="FollowedHyperlink"/>
    <w:uiPriority w:val="99"/>
    <w:semiHidden/>
    <w:unhideWhenUsed/>
    <w:rsid w:val="00F5277E"/>
    <w:rPr>
      <w:color w:val="1155CC"/>
      <w:u w:val="single"/>
    </w:rPr>
  </w:style>
  <w:style w:type="paragraph" w:customStyle="1" w:styleId="font5">
    <w:name w:val="font5"/>
    <w:basedOn w:val="a"/>
    <w:rsid w:val="00F5277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F5277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5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52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527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527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B0F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27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27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527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527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527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527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A9DB" w:fill="8EA9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52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527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277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277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277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277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2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5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5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527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5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5277E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527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527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527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F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image" Target="media/image2.png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microsoft.com/office/2007/relationships/hdphoto" Target="media/hdphoto2.wdp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image" Target="media/image1.png"/><Relationship Id="rId25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image" Target="media/image3.png"/><Relationship Id="rId29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microsoft.com/office/2007/relationships/hdphoto" Target="media/hdphoto3.wdp"/><Relationship Id="rId28" Type="http://schemas.openxmlformats.org/officeDocument/2006/relationships/image" Target="media/image7.png"/><Relationship Id="rId10" Type="http://schemas.openxmlformats.org/officeDocument/2006/relationships/chart" Target="charts/chart4.xml"/><Relationship Id="rId19" Type="http://schemas.microsoft.com/office/2007/relationships/hdphoto" Target="media/hdphoto1.wdp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image" Target="media/image4.png"/><Relationship Id="rId27" Type="http://schemas.microsoft.com/office/2007/relationships/hdphoto" Target="media/hdphoto5.wdp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72;&#1092;&#1077;&#1076;&#1088;&#1072;\&#1054;&#1089;&#1074;&#1110;&#1090;&#1085;&#1103;%20&#1087;&#1088;&#1086;&#1075;&#1088;&#1072;&#1084;&#1072;\&#1054;&#1055;%202024\&#1047;&#1074;&#1110;&#1090;_&#1040;&#1082;&#1072;&#1076;&#1077;&#1084;&#1110;&#1095;&#1085;&#1086;&#1111;%20&#1089;&#1074;&#1086;&#1073;&#1086;&#1076;&#1080;%20&#1090;&#1072;%20&#1089;&#1090;&#1091;&#1076;&#1077;&#1085;&#1090;&#1086;&#1094;&#1077;&#1085;&#1090;&#1088;&#1086;&#1074;&#1072;&#1085;&#1086;&#1075;&#1086;%20&#1087;&#1110;&#1076;&#1093;&#1086;&#1076;&#1091;_&#1050;&#1072;&#1092;%20&#1041;&#1064;&#1061;%20&#1041;&#1110;&#1086;&#1090;&#1077;&#1093;&#1085;&#1086;&#1083;&#1086;&#1075;&#1110;&#110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72;&#1092;&#1077;&#1076;&#1088;&#1072;\&#1054;&#1089;&#1074;&#1110;&#1090;&#1085;&#1103;%20&#1087;&#1088;&#1086;&#1075;&#1088;&#1072;&#1084;&#1072;\&#1054;&#1055;%202024\&#1047;&#1074;&#1110;&#1090;_&#1040;&#1082;&#1072;&#1076;&#1077;&#1084;&#1110;&#1095;&#1085;&#1086;&#1111;%20&#1089;&#1074;&#1086;&#1073;&#1086;&#1076;&#1080;%20&#1090;&#1072;%20&#1089;&#1090;&#1091;&#1076;&#1077;&#1085;&#1090;&#1086;&#1094;&#1077;&#1085;&#1090;&#1088;&#1086;&#1074;&#1072;&#1085;&#1086;&#1075;&#1086;%20&#1087;&#1110;&#1076;&#1093;&#1086;&#1076;&#1091;_&#1050;&#1072;&#1092;%20&#1041;&#1064;&#1061;%20&#1041;&#1110;&#1086;&#1090;&#1077;&#1093;&#1085;&#1086;&#1083;&#1086;&#1075;&#1110;&#110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72;&#1092;&#1077;&#1076;&#1088;&#1072;\&#1054;&#1089;&#1074;&#1110;&#1090;&#1085;&#1103;%20&#1087;&#1088;&#1086;&#1075;&#1088;&#1072;&#1084;&#1072;\&#1054;&#1055;%202024\&#1047;&#1074;&#1110;&#1090;_&#1040;&#1082;&#1072;&#1076;&#1077;&#1084;&#1110;&#1095;&#1085;&#1086;&#1111;%20&#1089;&#1074;&#1086;&#1073;&#1086;&#1076;&#1080;%20&#1090;&#1072;%20&#1089;&#1090;&#1091;&#1076;&#1077;&#1085;&#1090;&#1086;&#1094;&#1077;&#1085;&#1090;&#1088;&#1086;&#1074;&#1072;&#1085;&#1086;&#1075;&#1086;%20&#1087;&#1110;&#1076;&#1093;&#1086;&#1076;&#1091;_&#1050;&#1072;&#1092;%20&#1041;&#1064;&#1061;%20&#1041;&#1110;&#1086;&#1090;&#1077;&#1093;&#1085;&#1086;&#1083;&#1086;&#1075;&#1110;&#110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72;&#1092;&#1077;&#1076;&#1088;&#1072;\&#1054;&#1089;&#1074;&#1110;&#1090;&#1085;&#1103;%20&#1087;&#1088;&#1086;&#1075;&#1088;&#1072;&#1084;&#1072;\&#1054;&#1055;%202024\&#1047;&#1074;&#1110;&#1090;_&#1040;&#1082;&#1072;&#1076;&#1077;&#1084;&#1110;&#1095;&#1085;&#1086;&#1111;%20&#1089;&#1074;&#1086;&#1073;&#1086;&#1076;&#1080;%20&#1090;&#1072;%20&#1089;&#1090;&#1091;&#1076;&#1077;&#1085;&#1090;&#1086;&#1094;&#1077;&#1085;&#1090;&#1088;&#1086;&#1074;&#1072;&#1085;&#1086;&#1075;&#1086;%20&#1087;&#1110;&#1076;&#1093;&#1086;&#1076;&#1091;_&#1050;&#1072;&#1092;%20&#1041;&#1064;&#1061;%20&#1041;&#1110;&#1086;&#1090;&#1077;&#1093;&#1085;&#1086;&#1083;&#1086;&#1075;&#1110;&#1103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72;&#1092;&#1077;&#1076;&#1088;&#1072;\&#1054;&#1089;&#1074;&#1110;&#1090;&#1085;&#1103;%20&#1087;&#1088;&#1086;&#1075;&#1088;&#1072;&#1084;&#1072;\&#1054;&#1055;%202024\&#1047;&#1074;&#1110;&#1090;_&#1040;&#1082;&#1072;&#1076;&#1077;&#1084;&#1110;&#1095;&#1085;&#1086;&#1111;%20&#1089;&#1074;&#1086;&#1073;&#1086;&#1076;&#1080;%20&#1090;&#1072;%20&#1089;&#1090;&#1091;&#1076;&#1077;&#1085;&#1090;&#1086;&#1094;&#1077;&#1085;&#1090;&#1088;&#1086;&#1074;&#1072;&#1085;&#1086;&#1075;&#1086;%20&#1087;&#1110;&#1076;&#1093;&#1086;&#1076;&#1091;_&#1050;&#1072;&#1092;%20&#1041;&#1064;&#1061;%20&#1041;&#1110;&#1086;&#1090;&#1077;&#1093;&#1085;&#1086;&#1083;&#1086;&#1075;&#111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dLbl>
              <c:idx val="2"/>
              <c:layout>
                <c:manualLayout>
                  <c:x val="8.7337334868844499E-2"/>
                  <c:y val="1.3681777110201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частково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94.4</c:v>
                </c:pt>
                <c:pt idx="1">
                  <c:v>0</c:v>
                </c:pt>
                <c:pt idx="2">
                  <c:v>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1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так</c:v>
                </c:pt>
                <c:pt idx="1">
                  <c:v>важко відповісти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88.9</c:v>
                </c:pt>
                <c:pt idx="1">
                  <c:v>11.1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на визначилися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55.6</c:v>
                </c:pt>
                <c:pt idx="1">
                  <c:v>27.8</c:v>
                </c:pt>
                <c:pt idx="2">
                  <c:v>16.7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так, повний робочий день</c:v>
                </c:pt>
                <c:pt idx="1">
                  <c:v>так, неповний робочий день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77.8</c:v>
                </c:pt>
                <c:pt idx="1">
                  <c:v>22.2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Лист1!$B$39:$B$44</c:f>
              <c:strCache>
                <c:ptCount val="6"/>
                <c:pt idx="0">
                  <c:v>- враховувати потреби і пропозиції студентів</c:v>
                </c:pt>
                <c:pt idx="1">
                  <c:v>- забезпечити взаємоповагу між викладачем і студентом</c:v>
                </c:pt>
                <c:pt idx="2">
                  <c:v>- використовувати різноманітні технології, методи навчання</c:v>
                </c:pt>
                <c:pt idx="3">
                  <c:v>- відзначити особистість студента і забезпечити підтримку з боку викладача</c:v>
                </c:pt>
                <c:pt idx="4">
                  <c:v>- усе перераховане вище має значення</c:v>
                </c:pt>
                <c:pt idx="5">
                  <c:v>- важко відповісти</c:v>
                </c:pt>
              </c:strCache>
            </c:strRef>
          </c:cat>
          <c:val>
            <c:numRef>
              <c:f>Лист1!$C$39:$C$44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27,8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22,2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19,4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3132487379906301E-3"/>
                  <c:y val="4.4232745259734319E-17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13,9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uk-UA"/>
                      <a:t>8,3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uk-UA"/>
                      <a:t>8,3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Лист1!$B$39:$B$44</c:f>
              <c:strCache>
                <c:ptCount val="6"/>
                <c:pt idx="0">
                  <c:v>- враховувати потреби і пропозиції студентів</c:v>
                </c:pt>
                <c:pt idx="1">
                  <c:v>- забезпечити взаємоповагу між викладачем і студентом</c:v>
                </c:pt>
                <c:pt idx="2">
                  <c:v>- використовувати різноманітні технології, методи навчання</c:v>
                </c:pt>
                <c:pt idx="3">
                  <c:v>- відзначити особистість студента і забезпечити підтримку з боку викладача</c:v>
                </c:pt>
                <c:pt idx="4">
                  <c:v>- усе перераховане вище має значення</c:v>
                </c:pt>
                <c:pt idx="5">
                  <c:v>- важко відповісти</c:v>
                </c:pt>
              </c:strCache>
            </c:strRef>
          </c:cat>
          <c:val>
            <c:numRef>
              <c:f>Лист1!$D$39:$D$44</c:f>
              <c:numCache>
                <c:formatCode>0.0</c:formatCode>
                <c:ptCount val="6"/>
                <c:pt idx="0">
                  <c:v>11.1</c:v>
                </c:pt>
                <c:pt idx="1">
                  <c:v>7.4</c:v>
                </c:pt>
                <c:pt idx="2">
                  <c:v>7.4</c:v>
                </c:pt>
                <c:pt idx="3">
                  <c:v>3.7</c:v>
                </c:pt>
                <c:pt idx="4">
                  <c:v>51.9</c:v>
                </c:pt>
                <c:pt idx="5">
                  <c:v>18.5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6"/>
        <c:overlap val="100"/>
        <c:axId val="167796736"/>
        <c:axId val="167798272"/>
      </c:barChart>
      <c:catAx>
        <c:axId val="167796736"/>
        <c:scaling>
          <c:orientation val="minMax"/>
        </c:scaling>
        <c:delete val="0"/>
        <c:axPos val="l"/>
        <c:majorGridlines/>
        <c:majorTickMark val="out"/>
        <c:minorTickMark val="none"/>
        <c:tickLblPos val="nextTo"/>
        <c:crossAx val="167798272"/>
        <c:crosses val="autoZero"/>
        <c:auto val="1"/>
        <c:lblAlgn val="ctr"/>
        <c:lblOffset val="100"/>
        <c:noMultiLvlLbl val="0"/>
      </c:catAx>
      <c:valAx>
        <c:axId val="1677982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uk-UA" b="0"/>
                  <a:t>% респондентів</a:t>
                </a:r>
              </a:p>
            </c:rich>
          </c:tx>
          <c:layout>
            <c:manualLayout>
              <c:xMode val="edge"/>
              <c:yMode val="edge"/>
              <c:x val="0.78861274667824166"/>
              <c:y val="0.9125333480258942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77967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8,3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47,2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44,4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Аркуш1!$B$53:$B$55</c:f>
              <c:strCache>
                <c:ptCount val="3"/>
                <c:pt idx="0">
                  <c:v>- друковані видання (підручники, навчальні посібники тощо)</c:v>
                </c:pt>
                <c:pt idx="1">
                  <c:v>- електронна версія (електронна бібліотека, дистанційні курси тощо)</c:v>
                </c:pt>
                <c:pt idx="2">
                  <c:v>- лекційні заняття з використанням інтерактивних технологій, лабораторно-практичні заняття</c:v>
                </c:pt>
              </c:strCache>
            </c:strRef>
          </c:cat>
          <c:val>
            <c:numRef>
              <c:f>Аркуш1!$H$53:$H$55</c:f>
              <c:numCache>
                <c:formatCode>0.0</c:formatCode>
                <c:ptCount val="3"/>
                <c:pt idx="0">
                  <c:v>6.666666666666667</c:v>
                </c:pt>
                <c:pt idx="1">
                  <c:v>40</c:v>
                </c:pt>
                <c:pt idx="2">
                  <c:v>53.333333333333336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67831040"/>
        <c:axId val="167832576"/>
      </c:barChart>
      <c:catAx>
        <c:axId val="167831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832576"/>
        <c:crosses val="autoZero"/>
        <c:auto val="1"/>
        <c:lblAlgn val="ctr"/>
        <c:lblOffset val="100"/>
        <c:noMultiLvlLbl val="0"/>
      </c:catAx>
      <c:valAx>
        <c:axId val="16783257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uk-UA" b="0"/>
                  <a:t>% респондентів</a:t>
                </a:r>
              </a:p>
            </c:rich>
          </c:tx>
          <c:layout>
            <c:manualLayout>
              <c:xMode val="edge"/>
              <c:yMode val="edge"/>
              <c:x val="0.73679265091863522"/>
              <c:y val="0.90046296296296291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167831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Лист1!$C$62</c:f>
              <c:strCache>
                <c:ptCount val="1"/>
                <c:pt idx="0">
                  <c:v>постійно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25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27,8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Лист1!$B$63:$B$64</c:f>
              <c:strCache>
                <c:ptCount val="2"/>
                <c:pt idx="0">
                  <c:v>Як часто користуєтеся дистанційними курсами при вивченні дисциплін?</c:v>
                </c:pt>
                <c:pt idx="1">
                  <c:v>Як часто користуєтеся електронною бібліотекою при вивченні дисциплін?</c:v>
                </c:pt>
              </c:strCache>
            </c:strRef>
          </c:cat>
          <c:val>
            <c:numRef>
              <c:f>Лист1!$C$63:$C$64</c:f>
              <c:numCache>
                <c:formatCode>0.0</c:formatCode>
                <c:ptCount val="2"/>
                <c:pt idx="0">
                  <c:v>22.2</c:v>
                </c:pt>
                <c:pt idx="1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Лист1!$D$62</c:f>
              <c:strCache>
                <c:ptCount val="1"/>
                <c:pt idx="0">
                  <c:v>періодично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52,8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33333333333435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47,2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Лист1!$B$63:$B$64</c:f>
              <c:strCache>
                <c:ptCount val="2"/>
                <c:pt idx="0">
                  <c:v>Як часто користуєтеся дистанційними курсами при вивченні дисциплін?</c:v>
                </c:pt>
                <c:pt idx="1">
                  <c:v>Як часто користуєтеся електронною бібліотекою при вивченні дисциплін?</c:v>
                </c:pt>
              </c:strCache>
            </c:strRef>
          </c:cat>
          <c:val>
            <c:numRef>
              <c:f>Лист1!$D$63:$D$64</c:f>
              <c:numCache>
                <c:formatCode>0.0</c:formatCode>
                <c:ptCount val="2"/>
                <c:pt idx="0">
                  <c:v>51.9</c:v>
                </c:pt>
                <c:pt idx="1">
                  <c:v>51.9</c:v>
                </c:pt>
              </c:numCache>
            </c:numRef>
          </c:val>
        </c:ser>
        <c:ser>
          <c:idx val="2"/>
          <c:order val="2"/>
          <c:tx>
            <c:strRef>
              <c:f>Лист1!$E$62</c:f>
              <c:strCache>
                <c:ptCount val="1"/>
                <c:pt idx="0">
                  <c:v>інколи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19,4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33333333333333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25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Лист1!$B$63:$B$64</c:f>
              <c:strCache>
                <c:ptCount val="2"/>
                <c:pt idx="0">
                  <c:v>Як часто користуєтеся дистанційними курсами при вивченні дисциплін?</c:v>
                </c:pt>
                <c:pt idx="1">
                  <c:v>Як часто користуєтеся електронною бібліотекою при вивченні дисциплін?</c:v>
                </c:pt>
              </c:strCache>
            </c:strRef>
          </c:cat>
          <c:val>
            <c:numRef>
              <c:f>Лист1!$E$63:$E$64</c:f>
              <c:numCache>
                <c:formatCode>0.0</c:formatCode>
                <c:ptCount val="2"/>
                <c:pt idx="0">
                  <c:v>22.2</c:v>
                </c:pt>
                <c:pt idx="1">
                  <c:v>18.5</c:v>
                </c:pt>
              </c:numCache>
            </c:numRef>
          </c:val>
        </c:ser>
        <c:ser>
          <c:idx val="3"/>
          <c:order val="3"/>
          <c:tx>
            <c:strRef>
              <c:f>Лист1!$F$62</c:f>
              <c:strCache>
                <c:ptCount val="1"/>
                <c:pt idx="0">
                  <c:v>ніколи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Лист1!$B$63:$B$64</c:f>
              <c:strCache>
                <c:ptCount val="2"/>
                <c:pt idx="0">
                  <c:v>Як часто користуєтеся дистанційними курсами при вивченні дисциплін?</c:v>
                </c:pt>
                <c:pt idx="1">
                  <c:v>Як часто користуєтеся електронною бібліотекою при вивченні дисциплін?</c:v>
                </c:pt>
              </c:strCache>
            </c:strRef>
          </c:cat>
          <c:val>
            <c:numRef>
              <c:f>Лист1!$F$63:$F$64</c:f>
              <c:numCache>
                <c:formatCode>General</c:formatCode>
                <c:ptCount val="2"/>
                <c:pt idx="0" formatCode="0.0">
                  <c:v>3.7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7754368"/>
        <c:axId val="167760256"/>
      </c:barChart>
      <c:catAx>
        <c:axId val="167754368"/>
        <c:scaling>
          <c:orientation val="minMax"/>
        </c:scaling>
        <c:delete val="0"/>
        <c:axPos val="l"/>
        <c:majorGridlines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67760256"/>
        <c:crosses val="autoZero"/>
        <c:auto val="1"/>
        <c:lblAlgn val="ctr"/>
        <c:lblOffset val="100"/>
        <c:noMultiLvlLbl val="0"/>
      </c:catAx>
      <c:valAx>
        <c:axId val="1677602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uk-UA" b="0"/>
                  <a:t>% респондентів</a:t>
                </a:r>
              </a:p>
            </c:rich>
          </c:tx>
          <c:layout>
            <c:manualLayout>
              <c:xMode val="edge"/>
              <c:yMode val="edge"/>
              <c:x val="0.74323840769903748"/>
              <c:y val="0.86776283172936719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1677543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7519160104986875"/>
          <c:y val="0.78211468358121905"/>
          <c:w val="0.63295013123359578"/>
          <c:h val="7.8996427529892096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Так</c:v>
                </c:pt>
                <c:pt idx="1">
                  <c:v>важко відповісти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97.2</c:v>
                </c:pt>
                <c:pt idx="1">
                  <c:v>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Лист1!$C$77</c:f>
              <c:strCache>
                <c:ptCount val="1"/>
                <c:pt idx="0">
                  <c:v>задовольняє повністю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Лист1!$B$78:$B$79</c:f>
              <c:strCache>
                <c:ptCount val="2"/>
                <c:pt idx="0">
                  <c:v>Чи задовольняє Ваші потреби в освітньому процесі забезпечення комп’ютерами, спеціалізованими лабораторіями?</c:v>
                </c:pt>
                <c:pt idx="1">
                  <c:v>Чи задовольняє Ваші потреби в освітньому процесі робота бібліотеки та читального залу?</c:v>
                </c:pt>
              </c:strCache>
            </c:strRef>
          </c:cat>
          <c:val>
            <c:numRef>
              <c:f>Лист1!$C$78:$C$79</c:f>
              <c:numCache>
                <c:formatCode>0.0</c:formatCode>
                <c:ptCount val="2"/>
                <c:pt idx="0">
                  <c:v>66.7</c:v>
                </c:pt>
                <c:pt idx="1">
                  <c:v>48.1</c:v>
                </c:pt>
              </c:numCache>
            </c:numRef>
          </c:val>
        </c:ser>
        <c:ser>
          <c:idx val="1"/>
          <c:order val="1"/>
          <c:tx>
            <c:strRef>
              <c:f>Лист1!$D$77</c:f>
              <c:strCache>
                <c:ptCount val="1"/>
                <c:pt idx="0">
                  <c:v>частково задовольняє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Лист1!$B$78:$B$79</c:f>
              <c:strCache>
                <c:ptCount val="2"/>
                <c:pt idx="0">
                  <c:v>Чи задовольняє Ваші потреби в освітньому процесі забезпечення комп’ютерами, спеціалізованими лабораторіями?</c:v>
                </c:pt>
                <c:pt idx="1">
                  <c:v>Чи задовольняє Ваші потреби в освітньому процесі робота бібліотеки та читального залу?</c:v>
                </c:pt>
              </c:strCache>
            </c:strRef>
          </c:cat>
          <c:val>
            <c:numRef>
              <c:f>Лист1!$D$78:$D$79</c:f>
              <c:numCache>
                <c:formatCode>0.0</c:formatCode>
                <c:ptCount val="2"/>
                <c:pt idx="0">
                  <c:v>29.6</c:v>
                </c:pt>
                <c:pt idx="1">
                  <c:v>22.2</c:v>
                </c:pt>
              </c:numCache>
            </c:numRef>
          </c:val>
        </c:ser>
        <c:ser>
          <c:idx val="2"/>
          <c:order val="2"/>
          <c:tx>
            <c:strRef>
              <c:f>Лист1!$E$77</c:f>
              <c:strCache>
                <c:ptCount val="1"/>
                <c:pt idx="0">
                  <c:v>не задовольняє</c:v>
                </c:pt>
              </c:strCache>
            </c:strRef>
          </c:tx>
          <c:invertIfNegative val="0"/>
          <c:cat>
            <c:strRef>
              <c:f>Лист1!$B$78:$B$79</c:f>
              <c:strCache>
                <c:ptCount val="2"/>
                <c:pt idx="0">
                  <c:v>Чи задовольняє Ваші потреби в освітньому процесі забезпечення комп’ютерами, спеціалізованими лабораторіями?</c:v>
                </c:pt>
                <c:pt idx="1">
                  <c:v>Чи задовольняє Ваші потреби в освітньому процесі робота бібліотеки та читального залу?</c:v>
                </c:pt>
              </c:strCache>
            </c:strRef>
          </c:cat>
          <c:val>
            <c:numRef>
              <c:f>Лист1!$E$78:$E$79</c:f>
              <c:numCache>
                <c:formatCode>0.0</c:formatCode>
                <c:ptCount val="2"/>
                <c:pt idx="0">
                  <c:v>0</c:v>
                </c:pt>
                <c:pt idx="1">
                  <c:v>3.7</c:v>
                </c:pt>
              </c:numCache>
            </c:numRef>
          </c:val>
        </c:ser>
        <c:ser>
          <c:idx val="3"/>
          <c:order val="3"/>
          <c:tx>
            <c:strRef>
              <c:f>Лист1!$F$77</c:f>
              <c:strCache>
                <c:ptCount val="1"/>
                <c:pt idx="0">
                  <c:v>важко відповісти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Лист1!$B$78:$B$79</c:f>
              <c:strCache>
                <c:ptCount val="2"/>
                <c:pt idx="0">
                  <c:v>Чи задовольняє Ваші потреби в освітньому процесі забезпечення комп’ютерами, спеціалізованими лабораторіями?</c:v>
                </c:pt>
                <c:pt idx="1">
                  <c:v>Чи задовольняє Ваші потреби в освітньому процесі робота бібліотеки та читального залу?</c:v>
                </c:pt>
              </c:strCache>
            </c:strRef>
          </c:cat>
          <c:val>
            <c:numRef>
              <c:f>Лист1!$F$78:$F$79</c:f>
              <c:numCache>
                <c:formatCode>0.0</c:formatCode>
                <c:ptCount val="2"/>
                <c:pt idx="0">
                  <c:v>3.7</c:v>
                </c:pt>
                <c:pt idx="1">
                  <c:v>25.9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243008"/>
        <c:axId val="169244544"/>
      </c:barChart>
      <c:catAx>
        <c:axId val="169243008"/>
        <c:scaling>
          <c:orientation val="minMax"/>
        </c:scaling>
        <c:delete val="0"/>
        <c:axPos val="l"/>
        <c:majorGridlines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9244544"/>
        <c:crosses val="autoZero"/>
        <c:auto val="1"/>
        <c:lblAlgn val="ctr"/>
        <c:lblOffset val="100"/>
        <c:noMultiLvlLbl val="0"/>
      </c:catAx>
      <c:valAx>
        <c:axId val="169244544"/>
        <c:scaling>
          <c:orientation val="minMax"/>
          <c:max val="8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uk-UA" b="0"/>
                  <a:t>% респондентів</a:t>
                </a:r>
              </a:p>
            </c:rich>
          </c:tx>
          <c:layout>
            <c:manualLayout>
              <c:xMode val="edge"/>
              <c:yMode val="edge"/>
              <c:x val="0.7597578740157479"/>
              <c:y val="0.89756270049577136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169243008"/>
        <c:crosses val="autoZero"/>
        <c:crossBetween val="between"/>
        <c:majorUnit val="20"/>
      </c:valAx>
    </c:plotArea>
    <c:legend>
      <c:legendPos val="b"/>
      <c:layout>
        <c:manualLayout>
          <c:xMode val="edge"/>
          <c:yMode val="edge"/>
          <c:x val="0.1118801188293274"/>
          <c:y val="0.87114200380124895"/>
          <c:w val="0.56741688538932633"/>
          <c:h val="9.3177180438652071E-2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7581700097706764"/>
          <c:y val="4.7235633452836892E-2"/>
          <c:w val="0.46877968459070823"/>
          <c:h val="0.7239358173719601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Лист1!$C$100</c:f>
              <c:strCache>
                <c:ptCount val="1"/>
                <c:pt idx="0">
                  <c:v>так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Лист1!$B$101:$B$106</c:f>
              <c:strCache>
                <c:ptCount val="6"/>
                <c:pt idx="0">
                  <c:v>Чи впроваджують викладачі в начальний процес сучасні методи навчання?</c:v>
                </c:pt>
                <c:pt idx="1">
                  <c:v>Чи відбувалися у Вас заняття у формі круглих столів?</c:v>
                </c:pt>
                <c:pt idx="2">
                  <c:v>Чи відбувалися у Вас заняття у формі конференцій?</c:v>
                </c:pt>
                <c:pt idx="3">
                  <c:v>Чи відбуваються у Вас заняття у формі екскурсій?</c:v>
                </c:pt>
                <c:pt idx="4">
                  <c:v>Чи сприяє навчання в Університеті Вашому особистісному розвитку?</c:v>
                </c:pt>
                <c:pt idx="5">
                  <c:v>Чи користуєтеся Ви публічною інформацією, яка розміщена на офіційному сайті Університету та факультету?</c:v>
                </c:pt>
              </c:strCache>
            </c:strRef>
          </c:cat>
          <c:val>
            <c:numRef>
              <c:f>Лист1!$C$101:$C$106</c:f>
              <c:numCache>
                <c:formatCode>0.0</c:formatCode>
                <c:ptCount val="6"/>
                <c:pt idx="0">
                  <c:v>100</c:v>
                </c:pt>
                <c:pt idx="1">
                  <c:v>59.3</c:v>
                </c:pt>
                <c:pt idx="2">
                  <c:v>81.5</c:v>
                </c:pt>
                <c:pt idx="3">
                  <c:v>37</c:v>
                </c:pt>
                <c:pt idx="4">
                  <c:v>88.9</c:v>
                </c:pt>
                <c:pt idx="5">
                  <c:v>81.5</c:v>
                </c:pt>
              </c:numCache>
            </c:numRef>
          </c:val>
        </c:ser>
        <c:ser>
          <c:idx val="1"/>
          <c:order val="1"/>
          <c:tx>
            <c:strRef>
              <c:f>Лист1!$D$100</c:f>
              <c:strCache>
                <c:ptCount val="1"/>
                <c:pt idx="0">
                  <c:v>ні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Лист1!$B$101:$B$106</c:f>
              <c:strCache>
                <c:ptCount val="6"/>
                <c:pt idx="0">
                  <c:v>Чи впроваджують викладачі в начальний процес сучасні методи навчання?</c:v>
                </c:pt>
                <c:pt idx="1">
                  <c:v>Чи відбувалися у Вас заняття у формі круглих столів?</c:v>
                </c:pt>
                <c:pt idx="2">
                  <c:v>Чи відбувалися у Вас заняття у формі конференцій?</c:v>
                </c:pt>
                <c:pt idx="3">
                  <c:v>Чи відбуваються у Вас заняття у формі екскурсій?</c:v>
                </c:pt>
                <c:pt idx="4">
                  <c:v>Чи сприяє навчання в Університеті Вашому особистісному розвитку?</c:v>
                </c:pt>
                <c:pt idx="5">
                  <c:v>Чи користуєтеся Ви публічною інформацією, яка розміщена на офіційному сайті Університету та факультету?</c:v>
                </c:pt>
              </c:strCache>
            </c:strRef>
          </c:cat>
          <c:val>
            <c:numRef>
              <c:f>Лист1!$D$101:$D$106</c:f>
              <c:numCache>
                <c:formatCode>0.0</c:formatCode>
                <c:ptCount val="6"/>
                <c:pt idx="1">
                  <c:v>40.700000000000003</c:v>
                </c:pt>
                <c:pt idx="2">
                  <c:v>18.5</c:v>
                </c:pt>
                <c:pt idx="3">
                  <c:v>63</c:v>
                </c:pt>
                <c:pt idx="4">
                  <c:v>11.1</c:v>
                </c:pt>
                <c:pt idx="5">
                  <c:v>18.5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169278464"/>
        <c:axId val="169288448"/>
      </c:barChart>
      <c:catAx>
        <c:axId val="169278464"/>
        <c:scaling>
          <c:orientation val="minMax"/>
        </c:scaling>
        <c:delete val="0"/>
        <c:axPos val="l"/>
        <c:majorGridlines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9288448"/>
        <c:crosses val="autoZero"/>
        <c:auto val="1"/>
        <c:lblAlgn val="ctr"/>
        <c:lblOffset val="100"/>
        <c:noMultiLvlLbl val="0"/>
      </c:catAx>
      <c:valAx>
        <c:axId val="169288448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uk-UA" b="0"/>
                  <a:t>% респондентів</a:t>
                </a:r>
              </a:p>
            </c:rich>
          </c:tx>
          <c:layout>
            <c:manualLayout>
              <c:xMode val="edge"/>
              <c:yMode val="edge"/>
              <c:x val="0.81738887767234225"/>
              <c:y val="0.90943539111880101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69278464"/>
        <c:crosses val="autoZero"/>
        <c:crossBetween val="between"/>
        <c:majorUnit val="20"/>
      </c:valAx>
    </c:plotArea>
    <c:legend>
      <c:legendPos val="b"/>
      <c:layout>
        <c:manualLayout>
          <c:xMode val="edge"/>
          <c:yMode val="edge"/>
          <c:x val="0.67218431029454651"/>
          <c:y val="0.90891297877814159"/>
          <c:w val="0.11588361711196357"/>
          <c:h val="6.832125616049314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A2EA6-D003-4BD0-896D-993A6EDF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25</Pages>
  <Words>6742</Words>
  <Characters>38434</Characters>
  <Application>Microsoft Office Word</Application>
  <DocSecurity>0</DocSecurity>
  <Lines>320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Fedor</cp:lastModifiedBy>
  <cp:revision>37</cp:revision>
  <cp:lastPrinted>2024-01-30T07:44:00Z</cp:lastPrinted>
  <dcterms:created xsi:type="dcterms:W3CDTF">2025-04-27T20:47:00Z</dcterms:created>
  <dcterms:modified xsi:type="dcterms:W3CDTF">2025-04-27T23:11:00Z</dcterms:modified>
</cp:coreProperties>
</file>