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BF" w:rsidRPr="002168BF" w:rsidRDefault="002168BF" w:rsidP="002168BF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168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Northwest University </w:t>
      </w:r>
      <w:r w:rsidRPr="002168BF">
        <w:rPr>
          <w:rFonts w:ascii="Times New Roman" w:eastAsia="Microsoft YaHei" w:hAnsi="Times New Roman" w:cs="Times New Roman"/>
          <w:b/>
          <w:color w:val="000000"/>
          <w:sz w:val="28"/>
          <w:szCs w:val="28"/>
          <w:shd w:val="clear" w:color="auto" w:fill="FFFFFF"/>
        </w:rPr>
        <w:t>Chinese Government Scholarship</w:t>
      </w:r>
    </w:p>
    <w:p w:rsidR="002168BF" w:rsidRPr="002168BF" w:rsidRDefault="002168BF" w:rsidP="002168B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8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2168BF">
        <w:rPr>
          <w:rFonts w:ascii="Times New Roman" w:eastAsia="Microsoft YaHe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Graduate </w:t>
      </w:r>
      <w:r w:rsidRPr="002168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Degree </w:t>
      </w:r>
      <w:r w:rsidRPr="002168BF">
        <w:rPr>
          <w:rFonts w:ascii="Times New Roman" w:eastAsia="Microsoft YaHei" w:hAnsi="Times New Roman" w:cs="Times New Roman"/>
          <w:b/>
          <w:color w:val="000000"/>
          <w:sz w:val="28"/>
          <w:szCs w:val="28"/>
          <w:shd w:val="clear" w:color="auto" w:fill="FFFFFF"/>
        </w:rPr>
        <w:t>Program</w:t>
      </w:r>
      <w:r w:rsidRPr="002168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51CD9" w:rsidRPr="002168BF" w:rsidRDefault="00951CD9" w:rsidP="00951CD9">
      <w:pPr>
        <w:widowControl/>
        <w:shd w:val="clear" w:color="auto" w:fill="FFFFFF"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SimSun" w:eastAsia="SimSun" w:hAnsi="SimSun" w:cs="Times New Roman"/>
          <w:color w:val="000000" w:themeColor="text1"/>
          <w:kern w:val="0"/>
          <w:szCs w:val="21"/>
        </w:rPr>
        <w:t>◆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A global university, founded in 1902, accepting international students since 1965</w:t>
      </w:r>
    </w:p>
    <w:p w:rsidR="00951CD9" w:rsidRPr="002168BF" w:rsidRDefault="00951CD9" w:rsidP="00951CD9">
      <w:pPr>
        <w:widowControl/>
        <w:shd w:val="clear" w:color="auto" w:fill="FFFFFF"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SimSun" w:cs="Times New Roman"/>
          <w:color w:val="000000" w:themeColor="text1"/>
          <w:kern w:val="0"/>
          <w:szCs w:val="21"/>
        </w:rPr>
        <w:t>◆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Located at the starting point of the ancient Silk Road---Xi'an, Shaanxi Province</w:t>
      </w:r>
    </w:p>
    <w:p w:rsidR="00951CD9" w:rsidRPr="002168BF" w:rsidRDefault="00951CD9" w:rsidP="00951CD9">
      <w:pPr>
        <w:widowControl/>
        <w:shd w:val="clear" w:color="auto" w:fill="FFFFFF"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SimSun" w:cs="Times New Roman"/>
          <w:color w:val="000000" w:themeColor="text1"/>
          <w:kern w:val="0"/>
          <w:szCs w:val="21"/>
        </w:rPr>
        <w:t>◆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Chinese National "211 Project" University</w:t>
      </w:r>
    </w:p>
    <w:p w:rsidR="00951CD9" w:rsidRPr="002168BF" w:rsidRDefault="00951CD9" w:rsidP="00951CD9">
      <w:pPr>
        <w:widowControl/>
        <w:shd w:val="clear" w:color="auto" w:fill="FFFFFF"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SimSun" w:cs="Times New Roman"/>
          <w:color w:val="000000" w:themeColor="text1"/>
          <w:kern w:val="0"/>
          <w:szCs w:val="21"/>
        </w:rPr>
        <w:t>◆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8</w:t>
      </w:r>
      <w:r w:rsidR="00EC0A21">
        <w:rPr>
          <w:rFonts w:ascii="Times New Roman" w:eastAsia="SimSun" w:hAnsi="Times New Roman" w:cs="Times New Roman" w:hint="eastAsia"/>
          <w:color w:val="000000" w:themeColor="text1"/>
          <w:kern w:val="0"/>
          <w:szCs w:val="21"/>
        </w:rPr>
        <w:t>5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 undergraduate programs, 186 </w:t>
      </w:r>
      <w:r w:rsidR="00EC0A21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Master 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programs</w:t>
      </w:r>
      <w:r w:rsidR="00EC0A21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, 107 Doctoral Programs</w:t>
      </w:r>
    </w:p>
    <w:p w:rsidR="00951CD9" w:rsidRPr="002168BF" w:rsidRDefault="00951CD9" w:rsidP="00951CD9">
      <w:pPr>
        <w:widowControl/>
        <w:shd w:val="clear" w:color="auto" w:fill="FFFFFF"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SimSun" w:cs="Times New Roman"/>
          <w:color w:val="000000" w:themeColor="text1"/>
          <w:kern w:val="0"/>
          <w:szCs w:val="21"/>
        </w:rPr>
        <w:t>◆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Praised as "the Mother of</w:t>
      </w:r>
      <w:r w:rsidR="001A4BD8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 Chinese Petroleum Engineering" 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"the Cradle of Economists " and "the Cradle of Writers"</w:t>
      </w:r>
    </w:p>
    <w:p w:rsidR="00951CD9" w:rsidRPr="002168BF" w:rsidRDefault="00951CD9" w:rsidP="00951CD9">
      <w:pPr>
        <w:widowControl/>
        <w:shd w:val="clear" w:color="auto" w:fill="FFFFFF"/>
        <w:spacing w:line="205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</w:p>
    <w:p w:rsidR="00951CD9" w:rsidRPr="002168BF" w:rsidRDefault="00951CD9" w:rsidP="002168BF">
      <w:pPr>
        <w:widowControl/>
        <w:shd w:val="clear" w:color="auto" w:fill="FFFFFF"/>
        <w:spacing w:line="300" w:lineRule="atLeast"/>
        <w:jc w:val="left"/>
        <w:rPr>
          <w:rFonts w:ascii="Times New Roman" w:eastAsia="Microsoft YaHei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Microsoft YaHei" w:hAnsi="Times New Roman" w:cs="Times New Roman"/>
          <w:b/>
          <w:bCs/>
          <w:color w:val="000000" w:themeColor="text1"/>
          <w:kern w:val="0"/>
          <w:szCs w:val="21"/>
        </w:rPr>
        <w:t>I</w:t>
      </w:r>
      <w:r w:rsidRPr="002168BF">
        <w:rPr>
          <w:rFonts w:ascii="Times New Roman" w:eastAsia="Microsoft YaHei" w:hAnsi="Times New Roman" w:cs="Times New Roman"/>
          <w:b/>
          <w:bCs/>
          <w:color w:val="000000" w:themeColor="text1"/>
          <w:kern w:val="0"/>
          <w:szCs w:val="21"/>
        </w:rPr>
        <w:t>．</w:t>
      </w:r>
      <w:r w:rsidRPr="002168BF">
        <w:rPr>
          <w:rFonts w:ascii="Times New Roman" w:eastAsia="Microsoft YaHei" w:hAnsi="Times New Roman" w:cs="Times New Roman"/>
          <w:b/>
          <w:bCs/>
          <w:color w:val="000000" w:themeColor="text1"/>
          <w:kern w:val="0"/>
          <w:szCs w:val="21"/>
        </w:rPr>
        <w:t xml:space="preserve">Application Period: </w:t>
      </w:r>
      <w:r w:rsidR="002168BF" w:rsidRPr="002168BF">
        <w:rPr>
          <w:rFonts w:ascii="Times New Roman" w:eastAsia="Microsoft YaHei" w:hAnsi="Times New Roman" w:cs="Times New Roman"/>
          <w:color w:val="000000" w:themeColor="text1"/>
          <w:kern w:val="0"/>
          <w:szCs w:val="21"/>
        </w:rPr>
        <w:t xml:space="preserve"> </w:t>
      </w:r>
      <w:r w:rsidR="001A4BD8" w:rsidRPr="002168BF">
        <w:rPr>
          <w:rFonts w:ascii="Times New Roman" w:eastAsia="SimSun" w:hAnsi="Times New Roman" w:cs="Times New Roman"/>
          <w:b/>
          <w:bCs/>
          <w:color w:val="000000" w:themeColor="text1"/>
          <w:kern w:val="0"/>
          <w:szCs w:val="21"/>
        </w:rPr>
        <w:t>December</w:t>
      </w:r>
      <w:r w:rsidRPr="002168BF">
        <w:rPr>
          <w:rFonts w:ascii="Times New Roman" w:eastAsia="SimSun" w:hAnsi="Times New Roman" w:cs="Times New Roman"/>
          <w:b/>
          <w:bCs/>
          <w:color w:val="000000" w:themeColor="text1"/>
          <w:kern w:val="0"/>
          <w:szCs w:val="21"/>
        </w:rPr>
        <w:t xml:space="preserve"> </w:t>
      </w:r>
      <w:r w:rsidR="001A4BD8" w:rsidRPr="002168BF">
        <w:rPr>
          <w:rFonts w:ascii="Times New Roman" w:eastAsia="SimSun" w:hAnsi="Times New Roman" w:cs="Times New Roman"/>
          <w:b/>
          <w:bCs/>
          <w:color w:val="000000" w:themeColor="text1"/>
          <w:kern w:val="0"/>
          <w:szCs w:val="21"/>
        </w:rPr>
        <w:t>1</w:t>
      </w:r>
      <w:r w:rsidR="001A4BD8" w:rsidRPr="002168BF">
        <w:rPr>
          <w:rFonts w:ascii="Times New Roman" w:eastAsia="SimSun" w:hAnsi="Times New Roman" w:cs="Times New Roman"/>
          <w:b/>
          <w:bCs/>
          <w:color w:val="000000" w:themeColor="text1"/>
          <w:kern w:val="0"/>
          <w:szCs w:val="21"/>
          <w:vertAlign w:val="superscript"/>
        </w:rPr>
        <w:t>st</w:t>
      </w:r>
      <w:r w:rsidR="001A4BD8" w:rsidRPr="002168BF">
        <w:rPr>
          <w:rFonts w:ascii="Times New Roman" w:eastAsia="SimSun" w:hAnsi="Times New Roman" w:cs="Times New Roman"/>
          <w:b/>
          <w:bCs/>
          <w:color w:val="000000" w:themeColor="text1"/>
          <w:kern w:val="0"/>
          <w:szCs w:val="21"/>
        </w:rPr>
        <w:t xml:space="preserve"> </w:t>
      </w:r>
      <w:r w:rsidRPr="002168BF">
        <w:rPr>
          <w:rFonts w:ascii="Times New Roman" w:eastAsia="SimSun" w:hAnsi="Times New Roman" w:cs="Times New Roman"/>
          <w:b/>
          <w:bCs/>
          <w:color w:val="000000" w:themeColor="text1"/>
          <w:kern w:val="0"/>
          <w:szCs w:val="21"/>
        </w:rPr>
        <w:t xml:space="preserve">—March </w:t>
      </w:r>
      <w:r w:rsidR="001A4BD8" w:rsidRPr="002168BF">
        <w:rPr>
          <w:rFonts w:ascii="Times New Roman" w:eastAsia="SimSun" w:hAnsi="Times New Roman" w:cs="Times New Roman"/>
          <w:b/>
          <w:bCs/>
          <w:color w:val="000000" w:themeColor="text1"/>
          <w:kern w:val="0"/>
          <w:szCs w:val="21"/>
        </w:rPr>
        <w:t>15</w:t>
      </w:r>
      <w:r w:rsidR="001A4BD8" w:rsidRPr="002168BF">
        <w:rPr>
          <w:rFonts w:ascii="Times New Roman" w:eastAsia="SimSun" w:hAnsi="Times New Roman" w:cs="Times New Roman"/>
          <w:b/>
          <w:bCs/>
          <w:color w:val="000000" w:themeColor="text1"/>
          <w:kern w:val="0"/>
          <w:szCs w:val="21"/>
          <w:vertAlign w:val="superscript"/>
        </w:rPr>
        <w:t>th</w:t>
      </w:r>
      <w:r w:rsidR="001A4BD8" w:rsidRPr="002168BF">
        <w:rPr>
          <w:rFonts w:ascii="Times New Roman" w:eastAsia="SimSun" w:hAnsi="Times New Roman" w:cs="Times New Roman"/>
          <w:b/>
          <w:bCs/>
          <w:color w:val="000000" w:themeColor="text1"/>
          <w:kern w:val="0"/>
          <w:szCs w:val="21"/>
        </w:rPr>
        <w:t xml:space="preserve"> </w:t>
      </w:r>
    </w:p>
    <w:p w:rsidR="00951CD9" w:rsidRPr="002168BF" w:rsidRDefault="00951CD9" w:rsidP="00951CD9">
      <w:pPr>
        <w:widowControl/>
        <w:shd w:val="clear" w:color="auto" w:fill="FFFFFF"/>
        <w:spacing w:line="300" w:lineRule="atLeast"/>
        <w:jc w:val="left"/>
        <w:rPr>
          <w:rFonts w:ascii="Times New Roman" w:eastAsia="Microsoft YaHei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Microsoft YaHei" w:hAnsi="Times New Roman" w:cs="Times New Roman"/>
          <w:b/>
          <w:bCs/>
          <w:color w:val="000000" w:themeColor="text1"/>
          <w:kern w:val="0"/>
          <w:szCs w:val="21"/>
        </w:rPr>
        <w:t>II. Program Categories</w:t>
      </w:r>
    </w:p>
    <w:p w:rsidR="00951CD9" w:rsidRPr="002168BF" w:rsidRDefault="00951CD9" w:rsidP="002168BF">
      <w:pPr>
        <w:widowControl/>
        <w:numPr>
          <w:ilvl w:val="0"/>
          <w:numId w:val="4"/>
        </w:numPr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Master Programs</w:t>
      </w:r>
    </w:p>
    <w:p w:rsidR="00951CD9" w:rsidRPr="002168BF" w:rsidRDefault="00951CD9" w:rsidP="002168BF">
      <w:pPr>
        <w:widowControl/>
        <w:numPr>
          <w:ilvl w:val="0"/>
          <w:numId w:val="4"/>
        </w:numPr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Doctoral Programs</w:t>
      </w:r>
    </w:p>
    <w:p w:rsidR="00951CD9" w:rsidRPr="002168BF" w:rsidRDefault="00951CD9" w:rsidP="00951CD9">
      <w:pPr>
        <w:widowControl/>
        <w:shd w:val="clear" w:color="auto" w:fill="FFFFFF"/>
        <w:spacing w:line="300" w:lineRule="atLeast"/>
        <w:jc w:val="left"/>
        <w:rPr>
          <w:rFonts w:ascii="Times New Roman" w:eastAsia="Microsoft YaHei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Microsoft YaHei" w:hAnsi="Times New Roman" w:cs="Times New Roman"/>
          <w:b/>
          <w:bCs/>
          <w:color w:val="000000" w:themeColor="text1"/>
          <w:kern w:val="0"/>
          <w:szCs w:val="21"/>
        </w:rPr>
        <w:t>III. Duration and Language of Instruction</w:t>
      </w:r>
    </w:p>
    <w:tbl>
      <w:tblPr>
        <w:tblW w:w="7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2360"/>
        <w:gridCol w:w="3043"/>
      </w:tblGrid>
      <w:tr w:rsidR="00951CD9" w:rsidRPr="002168BF" w:rsidTr="00951CD9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951CD9" w:rsidRPr="002168BF" w:rsidRDefault="00951CD9" w:rsidP="00951CD9">
            <w:pPr>
              <w:widowControl/>
              <w:wordWrap w:val="0"/>
              <w:spacing w:line="420" w:lineRule="atLeast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2168B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Categories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951CD9" w:rsidRPr="002168BF" w:rsidRDefault="00951CD9" w:rsidP="00951CD9">
            <w:pPr>
              <w:widowControl/>
              <w:wordWrap w:val="0"/>
              <w:spacing w:line="420" w:lineRule="atLeast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2168B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Duration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951CD9" w:rsidRPr="002168BF" w:rsidRDefault="00951CD9" w:rsidP="00951CD9">
            <w:pPr>
              <w:widowControl/>
              <w:wordWrap w:val="0"/>
              <w:spacing w:line="420" w:lineRule="atLeast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2168B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Language Study</w:t>
            </w:r>
          </w:p>
        </w:tc>
      </w:tr>
      <w:tr w:rsidR="00951CD9" w:rsidRPr="002168BF" w:rsidTr="00951CD9"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951CD9" w:rsidRPr="002168BF" w:rsidRDefault="00951CD9" w:rsidP="00951CD9">
            <w:pPr>
              <w:widowControl/>
              <w:wordWrap w:val="0"/>
              <w:spacing w:line="420" w:lineRule="atLeast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2168B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Master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951CD9" w:rsidRPr="002168BF" w:rsidRDefault="00951CD9" w:rsidP="00951CD9">
            <w:pPr>
              <w:widowControl/>
              <w:wordWrap w:val="0"/>
              <w:spacing w:line="420" w:lineRule="atLeast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2168B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2 to 3 Years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951CD9" w:rsidRPr="002168BF" w:rsidRDefault="00951CD9" w:rsidP="00951CD9">
            <w:pPr>
              <w:widowControl/>
              <w:wordWrap w:val="0"/>
              <w:spacing w:line="420" w:lineRule="atLeast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2168B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1 Year</w:t>
            </w:r>
          </w:p>
        </w:tc>
      </w:tr>
      <w:tr w:rsidR="00951CD9" w:rsidRPr="002168BF" w:rsidTr="00951CD9"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951CD9" w:rsidRPr="002168BF" w:rsidRDefault="00951CD9" w:rsidP="00951CD9">
            <w:pPr>
              <w:widowControl/>
              <w:wordWrap w:val="0"/>
              <w:spacing w:line="420" w:lineRule="atLeast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2168B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Doctor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951CD9" w:rsidRPr="002168BF" w:rsidRDefault="00951CD9" w:rsidP="00951CD9">
            <w:pPr>
              <w:widowControl/>
              <w:wordWrap w:val="0"/>
              <w:spacing w:line="420" w:lineRule="atLeast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2168B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3 to 4 Years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951CD9" w:rsidRPr="002168BF" w:rsidRDefault="00951CD9" w:rsidP="00951CD9">
            <w:pPr>
              <w:widowControl/>
              <w:wordWrap w:val="0"/>
              <w:spacing w:line="420" w:lineRule="atLeast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 w:rsidRPr="002168BF"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1 Year</w:t>
            </w:r>
          </w:p>
        </w:tc>
      </w:tr>
    </w:tbl>
    <w:p w:rsidR="00951CD9" w:rsidRPr="002168BF" w:rsidRDefault="00951CD9" w:rsidP="002168BF">
      <w:pPr>
        <w:pStyle w:val="a6"/>
        <w:widowControl/>
        <w:numPr>
          <w:ilvl w:val="0"/>
          <w:numId w:val="5"/>
        </w:numPr>
        <w:spacing w:line="420" w:lineRule="atLeast"/>
        <w:ind w:firstLineChars="0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Most programs in Northwest University are instructed in Chinese. (Specific information of the degree programs is available at www.campuschina.org </w:t>
      </w:r>
      <w:r w:rsidR="001A4BD8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or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 www.</w:t>
      </w:r>
      <w:r w:rsidR="001A4BD8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laihua.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csc.edu.cn) </w:t>
      </w:r>
    </w:p>
    <w:p w:rsidR="00951CD9" w:rsidRPr="002168BF" w:rsidRDefault="00951CD9" w:rsidP="002168BF">
      <w:pPr>
        <w:pStyle w:val="a6"/>
        <w:widowControl/>
        <w:numPr>
          <w:ilvl w:val="0"/>
          <w:numId w:val="5"/>
        </w:numPr>
        <w:spacing w:line="420" w:lineRule="atLeast"/>
        <w:ind w:firstLineChars="0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The scholarship duration specified in the Admission Letter, covering major study and Chinese language study, cannot be extended in general. </w:t>
      </w:r>
    </w:p>
    <w:p w:rsidR="00951CD9" w:rsidRPr="002168BF" w:rsidRDefault="00951CD9" w:rsidP="002168BF">
      <w:pPr>
        <w:pStyle w:val="a6"/>
        <w:widowControl/>
        <w:numPr>
          <w:ilvl w:val="0"/>
          <w:numId w:val="5"/>
        </w:numPr>
        <w:spacing w:line="420" w:lineRule="atLeast"/>
        <w:ind w:firstLineChars="0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The scholarship students who are required to take Chinese Language studies, are expected to pass HSK 5 test by the end of Chinese Language study period. The students who failed to pass the HSK test after one year language training can continue their master/doctoral program for one testing year. For those who still could not fulfill the language profi</w:t>
      </w:r>
      <w:r w:rsidR="001A4BD8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ci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ency requirement by the end of the testing year, will be sent back to their home country as a non-degree language student. </w:t>
      </w:r>
    </w:p>
    <w:p w:rsidR="00951CD9" w:rsidRPr="002168BF" w:rsidRDefault="00951CD9" w:rsidP="00951CD9">
      <w:pPr>
        <w:widowControl/>
        <w:shd w:val="clear" w:color="auto" w:fill="FFFFFF"/>
        <w:spacing w:line="300" w:lineRule="atLeast"/>
        <w:jc w:val="left"/>
        <w:rPr>
          <w:rFonts w:ascii="Times New Roman" w:eastAsia="Microsoft YaHei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Microsoft YaHei" w:hAnsi="Times New Roman" w:cs="Times New Roman"/>
          <w:b/>
          <w:bCs/>
          <w:color w:val="000000" w:themeColor="text1"/>
          <w:kern w:val="0"/>
          <w:szCs w:val="21"/>
        </w:rPr>
        <w:t>IV. Scholarship Coverage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1. A waiver of fee for tuition;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2. Free on-campus dormitory accommodation;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3. Monthly living allowance: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Master students: 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￥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3,000 yuan/month; 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lastRenderedPageBreak/>
        <w:t xml:space="preserve">Doctoral students: 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￥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3,500 yuan/month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4. Comprehensive Medical Insurance and Protection Scheme for Intl Students in China;</w:t>
      </w:r>
    </w:p>
    <w:p w:rsidR="00951CD9" w:rsidRPr="002168BF" w:rsidRDefault="00951CD9" w:rsidP="00951CD9">
      <w:pPr>
        <w:widowControl/>
        <w:shd w:val="clear" w:color="auto" w:fill="FFFFFF"/>
        <w:spacing w:line="300" w:lineRule="atLeast"/>
        <w:jc w:val="left"/>
        <w:rPr>
          <w:rFonts w:ascii="Times New Roman" w:eastAsia="Microsoft YaHei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Microsoft YaHei" w:hAnsi="Times New Roman" w:cs="Times New Roman"/>
          <w:b/>
          <w:bCs/>
          <w:color w:val="000000" w:themeColor="text1"/>
          <w:kern w:val="0"/>
          <w:szCs w:val="21"/>
        </w:rPr>
        <w:t>V. Eligibility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To be eligible, applicants must: 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1. Be a citizen of a country other than the People’s Republic of China, and be in good health; 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2. Be a bachelor’s degree holder under the age of 35 when applying for master’s programs; 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3. Be a master’s degree holder under the age of 40 when applying for doctoral programs. </w:t>
      </w:r>
    </w:p>
    <w:p w:rsidR="00951CD9" w:rsidRPr="002168BF" w:rsidRDefault="00951CD9" w:rsidP="00951CD9">
      <w:pPr>
        <w:widowControl/>
        <w:shd w:val="clear" w:color="auto" w:fill="FFFFFF"/>
        <w:spacing w:line="300" w:lineRule="atLeast"/>
        <w:jc w:val="left"/>
        <w:rPr>
          <w:rFonts w:ascii="Times New Roman" w:eastAsia="Microsoft YaHei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Microsoft YaHei" w:hAnsi="Times New Roman" w:cs="Times New Roman"/>
          <w:b/>
          <w:bCs/>
          <w:color w:val="000000" w:themeColor="text1"/>
          <w:kern w:val="0"/>
          <w:szCs w:val="21"/>
        </w:rPr>
        <w:t xml:space="preserve">VI. Application Documents (in duplicate) 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1. Application Form for Chinese Government Scholarship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（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in Chinese or English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）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. 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2. Copy of Passport Photopage.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3. Notarized highest diploma (photocopy)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4. Academic transcripts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5. A Study Plan or Research Proposal in Chinese or English with a minimum of 800 words.  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6. Two letters of recommendation in Chinese or English from professors or associate professors.  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7. Foreigner Physical Examination Form 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8. HSK Certificate.  </w:t>
      </w:r>
      <w:r w:rsidR="00D168DD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(For Chinese Language instruction)</w:t>
      </w:r>
    </w:p>
    <w:p w:rsidR="00D168DD" w:rsidRPr="002168BF" w:rsidRDefault="00D168DD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Bachelor degree students should hold HSK 4, </w:t>
      </w:r>
      <w:r w:rsidR="00915B62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postgraduate students should hold HSK 5.</w:t>
      </w:r>
    </w:p>
    <w:p w:rsidR="00915B62" w:rsidRPr="002168BF" w:rsidRDefault="00915B62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TO</w:t>
      </w:r>
      <w:r w:rsidR="00284363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EFL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 or </w:t>
      </w:r>
      <w:r w:rsidR="00284363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IELTS exam report. (For English Language instruction)</w:t>
      </w:r>
    </w:p>
    <w:p w:rsidR="003365F9" w:rsidRPr="002168BF" w:rsidRDefault="00284363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TOEFL, bachelor students should </w:t>
      </w:r>
      <w:r w:rsidR="003365F9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receive a minimum score of 69, and postgraduate students of 78.</w:t>
      </w:r>
    </w:p>
    <w:p w:rsidR="00284363" w:rsidRPr="002168BF" w:rsidRDefault="003365F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IELTS, bachelor students should receive a minimum score of 5.5, and postgraduate students of 6.0</w:t>
      </w:r>
      <w:r w:rsidR="00284363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 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NOTE: No application documents will be returned.  </w:t>
      </w:r>
    </w:p>
    <w:p w:rsidR="00951CD9" w:rsidRPr="002168BF" w:rsidRDefault="00951CD9" w:rsidP="00951CD9">
      <w:pPr>
        <w:widowControl/>
        <w:shd w:val="clear" w:color="auto" w:fill="FFFFFF"/>
        <w:spacing w:line="300" w:lineRule="atLeast"/>
        <w:jc w:val="left"/>
        <w:rPr>
          <w:rFonts w:ascii="Times New Roman" w:eastAsia="Microsoft YaHei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Microsoft YaHei" w:hAnsi="Times New Roman" w:cs="Times New Roman"/>
          <w:b/>
          <w:bCs/>
          <w:color w:val="000000" w:themeColor="text1"/>
          <w:kern w:val="0"/>
          <w:szCs w:val="21"/>
        </w:rPr>
        <w:t>VII. Application Procedure</w:t>
      </w:r>
    </w:p>
    <w:p w:rsidR="009B29E9" w:rsidRPr="002168BF" w:rsidRDefault="009B29E9" w:rsidP="009B29E9">
      <w:pPr>
        <w:pStyle w:val="a6"/>
        <w:widowControl/>
        <w:numPr>
          <w:ilvl w:val="0"/>
          <w:numId w:val="3"/>
        </w:numPr>
        <w:spacing w:line="420" w:lineRule="atLeast"/>
        <w:ind w:firstLineChars="0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Register at </w:t>
      </w:r>
      <w:hyperlink r:id="rId7" w:history="1">
        <w:r w:rsidR="009E3743" w:rsidRPr="00743E0A">
          <w:rPr>
            <w:rStyle w:val="a5"/>
            <w:rFonts w:ascii="Times New Roman" w:eastAsia="SimSun" w:hAnsi="Times New Roman" w:cs="Times New Roman" w:hint="eastAsia"/>
            <w:kern w:val="0"/>
            <w:szCs w:val="21"/>
          </w:rPr>
          <w:t>http://campuschina.org</w:t>
        </w:r>
      </w:hyperlink>
      <w:r w:rsidR="00153BAC">
        <w:rPr>
          <w:rFonts w:ascii="Times New Roman" w:eastAsia="SimSun" w:hAnsi="Times New Roman" w:cs="Times New Roman" w:hint="eastAsia"/>
          <w:color w:val="000000" w:themeColor="text1"/>
          <w:kern w:val="0"/>
          <w:szCs w:val="21"/>
        </w:rPr>
        <w:t xml:space="preserve">, </w:t>
      </w:r>
      <w:r w:rsidR="005410A1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NWU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 agency </w:t>
      </w:r>
      <w:r w:rsidR="00F37AA2">
        <w:rPr>
          <w:rFonts w:ascii="Times New Roman" w:eastAsia="SimSun" w:hAnsi="Times New Roman" w:cs="Times New Roman" w:hint="eastAsia"/>
          <w:color w:val="000000" w:themeColor="text1"/>
          <w:kern w:val="0"/>
          <w:szCs w:val="21"/>
        </w:rPr>
        <w:t>No.</w:t>
      </w:r>
      <w:r w:rsidR="00F37AA2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 is 10697</w:t>
      </w:r>
      <w:r w:rsidR="00F37AA2">
        <w:rPr>
          <w:rFonts w:ascii="Times New Roman" w:eastAsia="SimSun" w:hAnsi="Times New Roman" w:cs="Times New Roman" w:hint="eastAsia"/>
          <w:color w:val="000000" w:themeColor="text1"/>
          <w:kern w:val="0"/>
          <w:szCs w:val="21"/>
        </w:rPr>
        <w:t xml:space="preserve">, and program </w:t>
      </w:r>
      <w:r w:rsidR="00F37AA2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cat</w:t>
      </w:r>
      <w:r w:rsidR="009703F2">
        <w:rPr>
          <w:rFonts w:ascii="Times New Roman" w:eastAsia="SimSun" w:hAnsi="Times New Roman" w:cs="Times New Roman" w:hint="eastAsia"/>
          <w:color w:val="000000" w:themeColor="text1"/>
          <w:kern w:val="0"/>
          <w:szCs w:val="21"/>
        </w:rPr>
        <w:t>e</w:t>
      </w:r>
      <w:r w:rsidR="00F37AA2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gory</w:t>
      </w:r>
      <w:r w:rsidR="00F37AA2">
        <w:rPr>
          <w:rFonts w:ascii="Times New Roman" w:eastAsia="SimSun" w:hAnsi="Times New Roman" w:cs="Times New Roman" w:hint="eastAsia"/>
          <w:color w:val="000000" w:themeColor="text1"/>
          <w:kern w:val="0"/>
          <w:szCs w:val="21"/>
        </w:rPr>
        <w:t xml:space="preserve"> is TYPE B.</w:t>
      </w:r>
    </w:p>
    <w:p w:rsidR="009B29E9" w:rsidRPr="002168BF" w:rsidRDefault="005410A1" w:rsidP="009B29E9">
      <w:pPr>
        <w:pStyle w:val="a6"/>
        <w:widowControl/>
        <w:numPr>
          <w:ilvl w:val="0"/>
          <w:numId w:val="3"/>
        </w:numPr>
        <w:spacing w:line="420" w:lineRule="atLeast"/>
        <w:ind w:firstLineChars="0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Complete and Print </w:t>
      </w:r>
      <w:r w:rsidR="009B29E9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the Application Form of Chinese Government S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cholarship</w:t>
      </w:r>
      <w:r w:rsidR="009B29E9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.</w:t>
      </w:r>
    </w:p>
    <w:p w:rsidR="009B29E9" w:rsidRPr="002168BF" w:rsidRDefault="005410A1" w:rsidP="009B29E9">
      <w:pPr>
        <w:pStyle w:val="a6"/>
        <w:widowControl/>
        <w:numPr>
          <w:ilvl w:val="0"/>
          <w:numId w:val="3"/>
        </w:numPr>
        <w:spacing w:line="420" w:lineRule="atLeast"/>
        <w:ind w:firstLineChars="0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Contact a supervisor of NWU for acceptance letter</w:t>
      </w:r>
      <w:r w:rsidR="009B29E9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.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(Students hold </w:t>
      </w:r>
      <w:r w:rsidR="00D40801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acceptance letter will be highly preferred)</w:t>
      </w:r>
    </w:p>
    <w:p w:rsidR="00D40801" w:rsidRPr="002168BF" w:rsidRDefault="00D40801" w:rsidP="009B29E9">
      <w:pPr>
        <w:pStyle w:val="a6"/>
        <w:widowControl/>
        <w:numPr>
          <w:ilvl w:val="0"/>
          <w:numId w:val="3"/>
        </w:numPr>
        <w:spacing w:line="420" w:lineRule="atLeast"/>
        <w:ind w:firstLineChars="0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S</w:t>
      </w:r>
      <w:r w:rsidR="005410A1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end all paper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 application documents to N</w:t>
      </w:r>
      <w:r w:rsidR="005410A1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WU.</w:t>
      </w:r>
    </w:p>
    <w:p w:rsidR="00D40801" w:rsidRPr="002168BF" w:rsidRDefault="005410A1" w:rsidP="005410A1">
      <w:pPr>
        <w:pStyle w:val="a6"/>
        <w:widowControl/>
        <w:numPr>
          <w:ilvl w:val="0"/>
          <w:numId w:val="3"/>
        </w:numPr>
        <w:spacing w:line="420" w:lineRule="atLeast"/>
        <w:ind w:firstLineChars="0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NWU will inform the short listed students and send out pre-admission letter after internal review and evaluation. Short-listed students </w:t>
      </w:r>
      <w:r w:rsidR="00D40801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should register at </w:t>
      </w:r>
      <w:hyperlink r:id="rId8" w:history="1">
        <w:r w:rsidR="00D40801" w:rsidRPr="002168BF">
          <w:rPr>
            <w:rStyle w:val="a5"/>
            <w:rFonts w:ascii="Times New Roman" w:eastAsia="SimSun" w:hAnsi="Times New Roman" w:cs="Times New Roman"/>
            <w:kern w:val="0"/>
            <w:szCs w:val="21"/>
          </w:rPr>
          <w:t>http://nwu.17gz.org</w:t>
        </w:r>
      </w:hyperlink>
      <w:r w:rsidR="00D40801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 </w:t>
      </w:r>
    </w:p>
    <w:p w:rsidR="00D40801" w:rsidRPr="002168BF" w:rsidRDefault="00D40801" w:rsidP="009B29E9">
      <w:pPr>
        <w:pStyle w:val="a6"/>
        <w:widowControl/>
        <w:numPr>
          <w:ilvl w:val="0"/>
          <w:numId w:val="3"/>
        </w:numPr>
        <w:spacing w:line="420" w:lineRule="atLeast"/>
        <w:ind w:firstLineChars="0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NWU send all the </w:t>
      </w:r>
      <w:r w:rsidR="005410A1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short-listed 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students</w:t>
      </w:r>
      <w:r w:rsidR="005410A1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’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 documents to CSC.</w:t>
      </w:r>
    </w:p>
    <w:p w:rsidR="00D40801" w:rsidRPr="002168BF" w:rsidRDefault="00D40801" w:rsidP="009B29E9">
      <w:pPr>
        <w:pStyle w:val="a6"/>
        <w:widowControl/>
        <w:numPr>
          <w:ilvl w:val="0"/>
          <w:numId w:val="3"/>
        </w:numPr>
        <w:spacing w:line="420" w:lineRule="atLeast"/>
        <w:ind w:firstLineChars="0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The final results will be</w:t>
      </w:r>
      <w:r w:rsidR="005410A1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 decided by CSC and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 announced </w:t>
      </w:r>
      <w:r w:rsidR="0080748A"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in July, then the admission letter and JW201 form will be sent to the candidates.</w:t>
      </w:r>
    </w:p>
    <w:p w:rsidR="002168BF" w:rsidRPr="002168BF" w:rsidRDefault="002168BF" w:rsidP="00951CD9">
      <w:pPr>
        <w:widowControl/>
        <w:shd w:val="clear" w:color="auto" w:fill="FFFFFF"/>
        <w:spacing w:line="300" w:lineRule="atLeast"/>
        <w:jc w:val="left"/>
        <w:rPr>
          <w:rFonts w:ascii="Times New Roman" w:eastAsia="Microsoft YaHei" w:hAnsi="Times New Roman" w:cs="Times New Roman"/>
          <w:b/>
          <w:bCs/>
          <w:color w:val="000000" w:themeColor="text1"/>
          <w:kern w:val="0"/>
          <w:szCs w:val="21"/>
        </w:rPr>
      </w:pPr>
    </w:p>
    <w:p w:rsidR="00951CD9" w:rsidRPr="002168BF" w:rsidRDefault="00951CD9" w:rsidP="002168BF">
      <w:pPr>
        <w:widowControl/>
        <w:shd w:val="clear" w:color="auto" w:fill="FFFFFF"/>
        <w:spacing w:line="300" w:lineRule="atLeast"/>
        <w:jc w:val="left"/>
        <w:rPr>
          <w:rFonts w:ascii="Times New Roman" w:eastAsia="Microsoft YaHei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Microsoft YaHei" w:hAnsi="Times New Roman" w:cs="Times New Roman"/>
          <w:b/>
          <w:bCs/>
          <w:color w:val="000000" w:themeColor="text1"/>
          <w:kern w:val="0"/>
          <w:szCs w:val="21"/>
        </w:rPr>
        <w:t>VIII. Contact Information: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 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b/>
          <w:bCs/>
          <w:color w:val="000000" w:themeColor="text1"/>
          <w:kern w:val="0"/>
          <w:szCs w:val="21"/>
        </w:rPr>
        <w:t>QQ: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57668480  Ms. He  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b/>
          <w:bCs/>
          <w:color w:val="000000" w:themeColor="text1"/>
          <w:kern w:val="0"/>
          <w:szCs w:val="21"/>
        </w:rPr>
        <w:t>Emai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l: tonwu@nwu.edu.cn    crystalhe0917@163.com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Telephone: 0086-29-88302373     0086-29-88302918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b/>
          <w:bCs/>
          <w:color w:val="000000" w:themeColor="text1"/>
          <w:kern w:val="0"/>
          <w:szCs w:val="21"/>
        </w:rPr>
        <w:t>Fax: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 0086-29—88303511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b/>
          <w:bCs/>
          <w:color w:val="000000" w:themeColor="text1"/>
          <w:kern w:val="0"/>
          <w:szCs w:val="21"/>
        </w:rPr>
        <w:t xml:space="preserve">Facebook: </w:t>
      </w: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www.facebook.com/</w:t>
      </w:r>
      <w:r w:rsidR="00403882">
        <w:rPr>
          <w:rFonts w:ascii="Times New Roman" w:eastAsia="SimSun" w:hAnsi="Times New Roman" w:cs="Times New Roman" w:hint="eastAsia"/>
          <w:color w:val="000000" w:themeColor="text1"/>
          <w:kern w:val="0"/>
          <w:szCs w:val="21"/>
        </w:rPr>
        <w:t>nwuadmission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b/>
          <w:bCs/>
          <w:color w:val="000000" w:themeColor="text1"/>
          <w:kern w:val="0"/>
          <w:szCs w:val="21"/>
        </w:rPr>
        <w:t>Postal Add: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No.142 Mailbox,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Intl Students Admissions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 xml:space="preserve">School of Intl Cultural Exchanges 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No. 229 North Taibai Avenue,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Taibai Campus, Northwest University,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Xi’an, Shaanxi, P. R. China</w:t>
      </w:r>
    </w:p>
    <w:p w:rsidR="00951CD9" w:rsidRPr="002168BF" w:rsidRDefault="00951CD9" w:rsidP="00951CD9">
      <w:pPr>
        <w:widowControl/>
        <w:spacing w:line="420" w:lineRule="atLeast"/>
        <w:jc w:val="left"/>
        <w:rPr>
          <w:rFonts w:ascii="Times New Roman" w:eastAsia="SimSun" w:hAnsi="Times New Roman" w:cs="Times New Roman"/>
          <w:color w:val="000000" w:themeColor="text1"/>
          <w:kern w:val="0"/>
          <w:szCs w:val="21"/>
        </w:rPr>
      </w:pPr>
      <w:r w:rsidRPr="002168BF">
        <w:rPr>
          <w:rFonts w:ascii="Times New Roman" w:eastAsia="SimSun" w:hAnsi="Times New Roman" w:cs="Times New Roman"/>
          <w:color w:val="000000" w:themeColor="text1"/>
          <w:kern w:val="0"/>
          <w:szCs w:val="21"/>
        </w:rPr>
        <w:t>Postcode: 710069</w:t>
      </w:r>
    </w:p>
    <w:p w:rsidR="00951CD9" w:rsidRPr="002168BF" w:rsidRDefault="00951CD9">
      <w:pPr>
        <w:rPr>
          <w:rFonts w:ascii="Times New Roman" w:hAnsi="Times New Roman" w:cs="Times New Roman"/>
          <w:color w:val="000000" w:themeColor="text1"/>
          <w:szCs w:val="21"/>
        </w:rPr>
      </w:pPr>
    </w:p>
    <w:sectPr w:rsidR="00951CD9" w:rsidRPr="002168BF" w:rsidSect="006A5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2BA" w:rsidRDefault="002E62BA" w:rsidP="005410A1">
      <w:r>
        <w:separator/>
      </w:r>
    </w:p>
  </w:endnote>
  <w:endnote w:type="continuationSeparator" w:id="0">
    <w:p w:rsidR="002E62BA" w:rsidRDefault="002E62BA" w:rsidP="0054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2BA" w:rsidRDefault="002E62BA" w:rsidP="005410A1">
      <w:r>
        <w:separator/>
      </w:r>
    </w:p>
  </w:footnote>
  <w:footnote w:type="continuationSeparator" w:id="0">
    <w:p w:rsidR="002E62BA" w:rsidRDefault="002E62BA" w:rsidP="00541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BF8"/>
    <w:multiLevelType w:val="hybridMultilevel"/>
    <w:tmpl w:val="3FFE4308"/>
    <w:lvl w:ilvl="0" w:tplc="B0FA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48051F"/>
    <w:multiLevelType w:val="hybridMultilevel"/>
    <w:tmpl w:val="4998A63A"/>
    <w:lvl w:ilvl="0" w:tplc="04090009">
      <w:start w:val="1"/>
      <w:numFmt w:val="bullet"/>
      <w:lvlText w:val=""/>
      <w:lvlJc w:val="left"/>
      <w:pPr>
        <w:ind w:left="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2" w15:restartNumberingAfterBreak="0">
    <w:nsid w:val="563A31DF"/>
    <w:multiLevelType w:val="multilevel"/>
    <w:tmpl w:val="DCA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DC6D03"/>
    <w:multiLevelType w:val="multilevel"/>
    <w:tmpl w:val="943405B2"/>
    <w:lvl w:ilvl="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BE5462"/>
    <w:multiLevelType w:val="multilevel"/>
    <w:tmpl w:val="FA14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D9"/>
    <w:rsid w:val="00017A31"/>
    <w:rsid w:val="00084DBC"/>
    <w:rsid w:val="00153BAC"/>
    <w:rsid w:val="00162432"/>
    <w:rsid w:val="00185839"/>
    <w:rsid w:val="001901BC"/>
    <w:rsid w:val="001A4BD8"/>
    <w:rsid w:val="001E3E62"/>
    <w:rsid w:val="002168BF"/>
    <w:rsid w:val="00252A01"/>
    <w:rsid w:val="0026186C"/>
    <w:rsid w:val="00284363"/>
    <w:rsid w:val="002E62BA"/>
    <w:rsid w:val="003365F9"/>
    <w:rsid w:val="00383A14"/>
    <w:rsid w:val="003E02BC"/>
    <w:rsid w:val="003E7E15"/>
    <w:rsid w:val="003F3B7D"/>
    <w:rsid w:val="00403882"/>
    <w:rsid w:val="004912AC"/>
    <w:rsid w:val="005410A1"/>
    <w:rsid w:val="00543967"/>
    <w:rsid w:val="00590E58"/>
    <w:rsid w:val="005D39E3"/>
    <w:rsid w:val="005D63C8"/>
    <w:rsid w:val="006A56CA"/>
    <w:rsid w:val="0080748A"/>
    <w:rsid w:val="0086537C"/>
    <w:rsid w:val="008C0FE8"/>
    <w:rsid w:val="008F6F8D"/>
    <w:rsid w:val="00915B62"/>
    <w:rsid w:val="00935704"/>
    <w:rsid w:val="00942A09"/>
    <w:rsid w:val="00951CD9"/>
    <w:rsid w:val="009703F2"/>
    <w:rsid w:val="009B29E9"/>
    <w:rsid w:val="009E3743"/>
    <w:rsid w:val="009F7E8B"/>
    <w:rsid w:val="00A02610"/>
    <w:rsid w:val="00B2150D"/>
    <w:rsid w:val="00BA5965"/>
    <w:rsid w:val="00C112DD"/>
    <w:rsid w:val="00CB67D8"/>
    <w:rsid w:val="00D168DD"/>
    <w:rsid w:val="00D40801"/>
    <w:rsid w:val="00D431AA"/>
    <w:rsid w:val="00D7061C"/>
    <w:rsid w:val="00D7143D"/>
    <w:rsid w:val="00DA29CF"/>
    <w:rsid w:val="00EC0A21"/>
    <w:rsid w:val="00F37AA2"/>
    <w:rsid w:val="00F4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616B3-2099-4F4C-AF80-5653EE3C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CD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1CD9"/>
    <w:rPr>
      <w:b/>
      <w:bCs/>
    </w:rPr>
  </w:style>
  <w:style w:type="character" w:styleId="a5">
    <w:name w:val="Hyperlink"/>
    <w:basedOn w:val="a0"/>
    <w:uiPriority w:val="99"/>
    <w:unhideWhenUsed/>
    <w:rsid w:val="009B29E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B29E9"/>
    <w:pPr>
      <w:ind w:firstLineChars="200" w:firstLine="420"/>
    </w:pPr>
  </w:style>
  <w:style w:type="paragraph" w:styleId="a7">
    <w:name w:val="header"/>
    <w:basedOn w:val="a"/>
    <w:link w:val="a8"/>
    <w:uiPriority w:val="99"/>
    <w:semiHidden/>
    <w:unhideWhenUsed/>
    <w:rsid w:val="0054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Верхній колонтитул Знак"/>
    <w:basedOn w:val="a0"/>
    <w:link w:val="a7"/>
    <w:uiPriority w:val="99"/>
    <w:semiHidden/>
    <w:rsid w:val="005410A1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541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Нижній колонтитул Знак"/>
    <w:basedOn w:val="a0"/>
    <w:link w:val="a9"/>
    <w:uiPriority w:val="99"/>
    <w:semiHidden/>
    <w:rsid w:val="00541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wu.17gz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mpuschi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2686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Levytska I.</cp:lastModifiedBy>
  <cp:revision>2</cp:revision>
  <cp:lastPrinted>2016-12-20T02:29:00Z</cp:lastPrinted>
  <dcterms:created xsi:type="dcterms:W3CDTF">2017-09-14T07:34:00Z</dcterms:created>
  <dcterms:modified xsi:type="dcterms:W3CDTF">2017-09-14T07:34:00Z</dcterms:modified>
</cp:coreProperties>
</file>